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85" w:rsidRDefault="00D81585" w:rsidP="001D3FC4">
      <w:pPr>
        <w:pStyle w:val="ConsPlusNonformat"/>
        <w:jc w:val="center"/>
        <w:rPr>
          <w:rFonts w:ascii="LindeDaxOffice_russian" w:hAnsi="LindeDaxOffice_russian" w:cs="Times New Roman"/>
          <w:b/>
          <w:color w:val="000000"/>
          <w:sz w:val="28"/>
          <w:szCs w:val="28"/>
          <w:lang w:val="en-US"/>
        </w:rPr>
      </w:pPr>
      <w:r>
        <w:rPr>
          <w:rFonts w:ascii="LindeDaxOffice_russian" w:hAnsi="LindeDaxOffice_russi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479540" cy="1079923"/>
            <wp:effectExtent l="19050" t="0" r="0" b="0"/>
            <wp:docPr id="2" name="Рисунок 2" descr="D:\Юрисконсульт\Corporation\Ассоциация_APIMG\План сайта, логотип\Логотип\2016\Approval logo\Утвердить на собрании 30_03_2016\Updated\Letter head_AP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Юрисконсульт\Corporation\Ассоциация_APIMG\План сайта, логотип\Логотип\2016\Approval logo\Утвердить на собрании 30_03_2016\Updated\Letter head_APIM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07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85" w:rsidRPr="002906A1" w:rsidRDefault="00D81585" w:rsidP="002906A1">
      <w:pPr>
        <w:pStyle w:val="ConsPlusNonformat"/>
        <w:rPr>
          <w:rFonts w:ascii="LindeDaxOffice_russian" w:hAnsi="LindeDaxOffice_russian" w:cs="Times New Roman"/>
          <w:b/>
          <w:color w:val="000000"/>
          <w:sz w:val="28"/>
          <w:szCs w:val="28"/>
        </w:rPr>
      </w:pPr>
    </w:p>
    <w:tbl>
      <w:tblPr>
        <w:tblStyle w:val="a5"/>
        <w:tblW w:w="10740" w:type="dxa"/>
        <w:tblLayout w:type="fixed"/>
        <w:tblLook w:val="04A0"/>
      </w:tblPr>
      <w:tblGrid>
        <w:gridCol w:w="5495"/>
        <w:gridCol w:w="5245"/>
      </w:tblGrid>
      <w:tr w:rsidR="002E3F7E" w:rsidRPr="00A75369" w:rsidTr="00736224">
        <w:tc>
          <w:tcPr>
            <w:tcW w:w="5495" w:type="dxa"/>
          </w:tcPr>
          <w:p w:rsidR="002E3F7E" w:rsidRDefault="002E3F7E" w:rsidP="004434EA">
            <w:pPr>
              <w:jc w:val="center"/>
              <w:rPr>
                <w:rFonts w:ascii="LindeDaxOffice_russian" w:hAnsi="LindeDaxOffice_russian"/>
                <w:b/>
                <w:sz w:val="28"/>
                <w:szCs w:val="28"/>
              </w:rPr>
            </w:pPr>
            <w:r>
              <w:rPr>
                <w:rFonts w:ascii="LindeDaxOffice_russian" w:hAnsi="LindeDaxOffice_russian"/>
                <w:b/>
                <w:sz w:val="28"/>
                <w:szCs w:val="28"/>
              </w:rPr>
              <w:t>Отчет о работе</w:t>
            </w:r>
          </w:p>
          <w:p w:rsidR="002E3F7E" w:rsidRDefault="002E3F7E" w:rsidP="004434EA">
            <w:pPr>
              <w:jc w:val="center"/>
              <w:rPr>
                <w:rFonts w:ascii="LindeDaxOffice_russian" w:hAnsi="LindeDaxOffice_russian"/>
                <w:b/>
                <w:sz w:val="28"/>
                <w:szCs w:val="28"/>
              </w:rPr>
            </w:pPr>
            <w:r>
              <w:rPr>
                <w:rFonts w:ascii="LindeDaxOffice_russian" w:hAnsi="LindeDaxOffice_russian"/>
                <w:b/>
                <w:sz w:val="28"/>
                <w:szCs w:val="28"/>
              </w:rPr>
              <w:t>рабочей группы «</w:t>
            </w:r>
            <w:r w:rsidR="004434EA">
              <w:rPr>
                <w:rFonts w:ascii="LindeDaxOffice_russian" w:hAnsi="LindeDaxOffice_russian"/>
                <w:b/>
                <w:sz w:val="28"/>
                <w:szCs w:val="28"/>
              </w:rPr>
              <w:t>Баллоны</w:t>
            </w:r>
            <w:r>
              <w:rPr>
                <w:rFonts w:ascii="LindeDaxOffice_russian" w:hAnsi="LindeDaxOffice_russian"/>
                <w:b/>
                <w:sz w:val="28"/>
                <w:szCs w:val="28"/>
              </w:rPr>
              <w:t>»</w:t>
            </w:r>
          </w:p>
          <w:p w:rsidR="002E3F7E" w:rsidRPr="002C3E38" w:rsidRDefault="002E3F7E" w:rsidP="004434EA">
            <w:pPr>
              <w:jc w:val="center"/>
              <w:rPr>
                <w:rFonts w:ascii="LindeDaxOffice_russian" w:hAnsi="LindeDaxOffice_russian"/>
                <w:b/>
                <w:sz w:val="28"/>
                <w:szCs w:val="28"/>
              </w:rPr>
            </w:pPr>
            <w:r>
              <w:rPr>
                <w:rFonts w:ascii="LindeDaxOffice_russian" w:hAnsi="LindeDaxOffice_russian"/>
                <w:b/>
                <w:sz w:val="28"/>
                <w:szCs w:val="28"/>
              </w:rPr>
              <w:t>за 2015-2016 г.г.</w:t>
            </w:r>
          </w:p>
          <w:p w:rsidR="002E3F7E" w:rsidRPr="00BE608F" w:rsidRDefault="002E3F7E" w:rsidP="004434EA">
            <w:pPr>
              <w:rPr>
                <w:rFonts w:ascii="LindeDaxOffice_russian" w:hAnsi="LindeDaxOffice_russi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3F7E" w:rsidRPr="007823D5" w:rsidRDefault="002E3F7E" w:rsidP="004434EA">
            <w:pPr>
              <w:pStyle w:val="ConsPlusNonformat"/>
              <w:ind w:left="369"/>
              <w:jc w:val="center"/>
              <w:rPr>
                <w:rStyle w:val="hps"/>
                <w:rFonts w:ascii="LindeDaxOffice_russian" w:hAnsi="LindeDaxOffice_russian" w:cs="Arial"/>
                <w:b/>
                <w:color w:val="222222"/>
                <w:sz w:val="28"/>
                <w:szCs w:val="28"/>
                <w:lang w:val="en-US"/>
              </w:rPr>
            </w:pPr>
            <w:r w:rsidRPr="007823D5">
              <w:rPr>
                <w:rStyle w:val="hps"/>
                <w:rFonts w:ascii="LindeDaxOffice_russian" w:hAnsi="LindeDaxOffice_russian" w:cs="Arial"/>
                <w:b/>
                <w:color w:val="222222"/>
                <w:sz w:val="28"/>
                <w:szCs w:val="28"/>
                <w:lang w:val="en-US"/>
              </w:rPr>
              <w:t>Progress Report</w:t>
            </w:r>
          </w:p>
          <w:p w:rsidR="002E3F7E" w:rsidRPr="007823D5" w:rsidRDefault="00A75369" w:rsidP="004434EA">
            <w:pPr>
              <w:pStyle w:val="ConsPlusNonformat"/>
              <w:ind w:left="369"/>
              <w:jc w:val="center"/>
              <w:rPr>
                <w:rStyle w:val="hps"/>
                <w:rFonts w:ascii="LindeDaxOffice_russian" w:hAnsi="LindeDaxOffice_russian"/>
                <w:b/>
                <w:sz w:val="28"/>
                <w:szCs w:val="28"/>
                <w:lang w:val="en-US"/>
              </w:rPr>
            </w:pPr>
            <w:r>
              <w:rPr>
                <w:rStyle w:val="hps"/>
                <w:rFonts w:ascii="LindeDaxOffice_russian" w:hAnsi="LindeDaxOffice_russian" w:cs="Arial"/>
                <w:b/>
                <w:color w:val="222222"/>
                <w:sz w:val="28"/>
                <w:szCs w:val="28"/>
                <w:lang w:val="en-US"/>
              </w:rPr>
              <w:t xml:space="preserve">of the </w:t>
            </w:r>
            <w:r w:rsidR="002E3F7E" w:rsidRPr="007823D5">
              <w:rPr>
                <w:rStyle w:val="hps"/>
                <w:rFonts w:ascii="LindeDaxOffice_russian" w:hAnsi="LindeDaxOffice_russian" w:cs="Arial"/>
                <w:b/>
                <w:color w:val="222222"/>
                <w:sz w:val="28"/>
                <w:szCs w:val="28"/>
                <w:lang w:val="en-US"/>
              </w:rPr>
              <w:t xml:space="preserve">Working Group </w:t>
            </w:r>
            <w:r w:rsidR="002E3F7E" w:rsidRPr="007823D5">
              <w:rPr>
                <w:rFonts w:ascii="LindeDaxOffice_russian" w:hAnsi="LindeDaxOffice_russian"/>
                <w:b/>
                <w:sz w:val="28"/>
                <w:szCs w:val="28"/>
                <w:lang w:val="en-US"/>
              </w:rPr>
              <w:t>«</w:t>
            </w:r>
            <w:r w:rsidR="004434EA">
              <w:rPr>
                <w:rFonts w:ascii="LindeDaxOffice_russian" w:hAnsi="LindeDaxOffice_russian"/>
                <w:b/>
                <w:sz w:val="28"/>
                <w:szCs w:val="28"/>
                <w:lang w:val="en-US"/>
              </w:rPr>
              <w:t>Cylinders</w:t>
            </w:r>
            <w:r w:rsidR="002E3F7E" w:rsidRPr="007823D5">
              <w:rPr>
                <w:rFonts w:ascii="LindeDaxOffice_russian" w:hAnsi="LindeDaxOffice_russian"/>
                <w:b/>
                <w:sz w:val="28"/>
                <w:szCs w:val="28"/>
                <w:lang w:val="en-US"/>
              </w:rPr>
              <w:t>»</w:t>
            </w:r>
          </w:p>
          <w:p w:rsidR="002E3F7E" w:rsidRPr="00063805" w:rsidRDefault="002E3F7E" w:rsidP="004434EA">
            <w:pPr>
              <w:jc w:val="center"/>
              <w:rPr>
                <w:rFonts w:ascii="LindeDaxOffice_russian" w:hAnsi="LindeDaxOffice_russian"/>
                <w:b/>
                <w:sz w:val="28"/>
                <w:szCs w:val="28"/>
                <w:lang w:val="en-US"/>
              </w:rPr>
            </w:pPr>
            <w:r w:rsidRPr="00063805">
              <w:rPr>
                <w:rFonts w:ascii="LindeDaxOffice_russian" w:hAnsi="LindeDaxOffice_russian"/>
                <w:b/>
                <w:sz w:val="28"/>
                <w:szCs w:val="28"/>
                <w:lang w:val="en-US"/>
              </w:rPr>
              <w:t>2015-2016</w:t>
            </w:r>
          </w:p>
        </w:tc>
      </w:tr>
      <w:tr w:rsidR="002E3F7E" w:rsidRPr="001B058B" w:rsidTr="00736224">
        <w:tc>
          <w:tcPr>
            <w:tcW w:w="5495" w:type="dxa"/>
          </w:tcPr>
          <w:p w:rsidR="003F3DBF" w:rsidRPr="00720513" w:rsidRDefault="000D375F" w:rsidP="00837093">
            <w:pPr>
              <w:pStyle w:val="a4"/>
              <w:ind w:left="0"/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720513">
              <w:rPr>
                <w:rFonts w:ascii="LindeDaxOffice_russian" w:hAnsi="LindeDaxOffice_russian"/>
                <w:sz w:val="28"/>
                <w:szCs w:val="28"/>
              </w:rPr>
              <w:tab/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>За прошедший отчетный период 2015-2016 г</w:t>
            </w:r>
            <w:r w:rsidR="004E4619">
              <w:rPr>
                <w:rFonts w:ascii="LindeDaxOffice_russian" w:hAnsi="LindeDaxOffice_russian"/>
                <w:sz w:val="24"/>
                <w:szCs w:val="24"/>
              </w:rPr>
              <w:t>.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>г</w:t>
            </w:r>
            <w:r w:rsidR="004E4619">
              <w:rPr>
                <w:rFonts w:ascii="LindeDaxOffice_russian" w:hAnsi="LindeDaxOffice_russian"/>
                <w:sz w:val="24"/>
                <w:szCs w:val="24"/>
              </w:rPr>
              <w:t>.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 xml:space="preserve">, </w:t>
            </w:r>
            <w:r w:rsidR="003F3DBF" w:rsidRPr="003F3DBF">
              <w:rPr>
                <w:rFonts w:ascii="LindeDaxOffice_russian" w:hAnsi="LindeDaxOffice_russian"/>
                <w:sz w:val="24"/>
                <w:szCs w:val="24"/>
              </w:rPr>
              <w:t xml:space="preserve">встречи 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>рабоч</w:t>
            </w:r>
            <w:r w:rsidR="003F3DBF" w:rsidRPr="003F3DBF">
              <w:rPr>
                <w:rFonts w:ascii="LindeDaxOffice_russian" w:hAnsi="LindeDaxOffice_russian"/>
                <w:sz w:val="24"/>
                <w:szCs w:val="24"/>
              </w:rPr>
              <w:t>ей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 xml:space="preserve"> групп</w:t>
            </w:r>
            <w:r w:rsidR="003F3DBF" w:rsidRPr="003F3DBF">
              <w:rPr>
                <w:rFonts w:ascii="LindeDaxOffice_russian" w:hAnsi="LindeDaxOffice_russian"/>
                <w:sz w:val="24"/>
                <w:szCs w:val="24"/>
              </w:rPr>
              <w:t>ы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 xml:space="preserve"> «</w:t>
            </w:r>
            <w:r w:rsidR="004E4619">
              <w:rPr>
                <w:rFonts w:ascii="LindeDaxOffice_russian" w:hAnsi="LindeDaxOffice_russian"/>
                <w:sz w:val="24"/>
                <w:szCs w:val="24"/>
              </w:rPr>
              <w:t>Газовые б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>аллоны» организовывал</w:t>
            </w:r>
            <w:r w:rsidR="003F3DBF" w:rsidRPr="003F3DBF">
              <w:rPr>
                <w:rFonts w:ascii="LindeDaxOffice_russian" w:hAnsi="LindeDaxOffice_russian"/>
                <w:sz w:val="24"/>
                <w:szCs w:val="24"/>
              </w:rPr>
              <w:t>ись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 xml:space="preserve"> </w:t>
            </w:r>
            <w:r w:rsidR="003F3DBF" w:rsidRPr="003F3DBF">
              <w:rPr>
                <w:rFonts w:ascii="LindeDaxOffice_russian" w:hAnsi="LindeDaxOffice_russian"/>
                <w:sz w:val="24"/>
                <w:szCs w:val="24"/>
              </w:rPr>
              <w:t>шесть раз</w:t>
            </w:r>
            <w:r w:rsidR="003F3DBF">
              <w:rPr>
                <w:rFonts w:ascii="LindeDaxOffice_russian" w:hAnsi="LindeDaxOffice_russian"/>
                <w:sz w:val="24"/>
                <w:szCs w:val="24"/>
              </w:rPr>
              <w:t>:</w:t>
            </w:r>
            <w:r w:rsidR="003F3DBF" w:rsidRPr="003F3DBF">
              <w:rPr>
                <w:rFonts w:ascii="LindeDaxOffice_russian" w:hAnsi="LindeDaxOffice_russian"/>
                <w:sz w:val="24"/>
                <w:szCs w:val="24"/>
              </w:rPr>
              <w:t xml:space="preserve"> </w:t>
            </w:r>
          </w:p>
          <w:p w:rsidR="00F265B0" w:rsidRPr="00720513" w:rsidRDefault="00F265B0" w:rsidP="00837093">
            <w:pPr>
              <w:pStyle w:val="a4"/>
              <w:ind w:left="0"/>
              <w:jc w:val="both"/>
              <w:rPr>
                <w:rFonts w:ascii="LindeDaxOffice_russian" w:hAnsi="LindeDaxOffice_russian"/>
                <w:sz w:val="24"/>
                <w:szCs w:val="24"/>
              </w:rPr>
            </w:pPr>
          </w:p>
          <w:p w:rsidR="00474C09" w:rsidRDefault="003F3DBF" w:rsidP="00837093">
            <w:pPr>
              <w:pStyle w:val="a4"/>
              <w:numPr>
                <w:ilvl w:val="0"/>
                <w:numId w:val="24"/>
              </w:num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3F3DBF">
              <w:rPr>
                <w:rFonts w:ascii="LindeDaxOffice_russian" w:hAnsi="LindeDaxOffice_russian"/>
                <w:sz w:val="24"/>
                <w:szCs w:val="24"/>
              </w:rPr>
              <w:t xml:space="preserve">27.02.2015 </w:t>
            </w:r>
            <w:r w:rsidR="00AD54CD">
              <w:rPr>
                <w:rFonts w:ascii="LindeDaxOffice_russian" w:hAnsi="LindeDaxOffice_russian"/>
                <w:sz w:val="24"/>
                <w:szCs w:val="24"/>
              </w:rPr>
              <w:t>(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>по телефону</w:t>
            </w:r>
            <w:r w:rsidR="00AD54CD">
              <w:rPr>
                <w:rFonts w:ascii="LindeDaxOffice_russian" w:hAnsi="LindeDaxOffice_russian"/>
                <w:sz w:val="24"/>
                <w:szCs w:val="24"/>
              </w:rPr>
              <w:t>)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>.</w:t>
            </w:r>
          </w:p>
          <w:p w:rsidR="00474C09" w:rsidRDefault="003F3DBF" w:rsidP="00837093">
            <w:pPr>
              <w:pStyle w:val="a4"/>
              <w:numPr>
                <w:ilvl w:val="0"/>
                <w:numId w:val="24"/>
              </w:num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3F3DBF">
              <w:rPr>
                <w:rFonts w:ascii="LindeDaxOffice_russian" w:hAnsi="LindeDaxOffice_russian"/>
                <w:sz w:val="24"/>
                <w:szCs w:val="24"/>
              </w:rPr>
              <w:t xml:space="preserve">31.03.2015 </w:t>
            </w:r>
            <w:r w:rsidR="00AD54CD">
              <w:rPr>
                <w:rFonts w:ascii="LindeDaxOffice_russian" w:hAnsi="LindeDaxOffice_russian"/>
                <w:sz w:val="24"/>
                <w:szCs w:val="24"/>
              </w:rPr>
              <w:t>(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>офис ООО «</w:t>
            </w:r>
            <w:proofErr w:type="spellStart"/>
            <w:r w:rsidRPr="003F3DBF">
              <w:rPr>
                <w:rFonts w:ascii="LindeDaxOffice_russian" w:hAnsi="LindeDaxOffice_russian"/>
                <w:sz w:val="24"/>
                <w:szCs w:val="24"/>
              </w:rPr>
              <w:t>Праксэа</w:t>
            </w:r>
            <w:proofErr w:type="spellEnd"/>
            <w:r w:rsidRPr="003F3DBF">
              <w:rPr>
                <w:rFonts w:ascii="LindeDaxOffice_russian" w:hAnsi="LindeDaxOffice_russian"/>
                <w:sz w:val="24"/>
                <w:szCs w:val="24"/>
              </w:rPr>
              <w:t xml:space="preserve"> Рус»</w:t>
            </w:r>
            <w:r w:rsidR="00AD54CD">
              <w:rPr>
                <w:rFonts w:ascii="LindeDaxOffice_russian" w:hAnsi="LindeDaxOffice_russian"/>
                <w:sz w:val="24"/>
                <w:szCs w:val="24"/>
              </w:rPr>
              <w:t>)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>.</w:t>
            </w:r>
          </w:p>
          <w:p w:rsidR="00474C09" w:rsidRDefault="003F3DBF" w:rsidP="00837093">
            <w:pPr>
              <w:pStyle w:val="a4"/>
              <w:numPr>
                <w:ilvl w:val="0"/>
                <w:numId w:val="24"/>
              </w:num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3F3DBF">
              <w:rPr>
                <w:rFonts w:ascii="LindeDaxOffice_russian" w:hAnsi="LindeDaxOffice_russian"/>
                <w:sz w:val="24"/>
                <w:szCs w:val="24"/>
              </w:rPr>
              <w:t xml:space="preserve">26.06.2015 </w:t>
            </w:r>
            <w:r w:rsidR="00AD54CD">
              <w:rPr>
                <w:rFonts w:ascii="LindeDaxOffice_russian" w:hAnsi="LindeDaxOffice_russian"/>
                <w:sz w:val="24"/>
                <w:szCs w:val="24"/>
              </w:rPr>
              <w:t>(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>офис ООО «ЭР ЛИКИД»</w:t>
            </w:r>
            <w:r w:rsidR="00AD54CD">
              <w:rPr>
                <w:rFonts w:ascii="LindeDaxOffice_russian" w:hAnsi="LindeDaxOffice_russian"/>
                <w:sz w:val="24"/>
                <w:szCs w:val="24"/>
              </w:rPr>
              <w:t>)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>.</w:t>
            </w:r>
          </w:p>
          <w:p w:rsidR="00474C09" w:rsidRDefault="003F3DBF" w:rsidP="00837093">
            <w:pPr>
              <w:pStyle w:val="a4"/>
              <w:numPr>
                <w:ilvl w:val="0"/>
                <w:numId w:val="24"/>
              </w:num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3F3DBF">
              <w:rPr>
                <w:rFonts w:ascii="LindeDaxOffice_russian" w:hAnsi="LindeDaxOffice_russian"/>
                <w:sz w:val="24"/>
                <w:szCs w:val="24"/>
              </w:rPr>
              <w:t xml:space="preserve">14.10.2015 </w:t>
            </w:r>
            <w:r w:rsidR="00AD54CD">
              <w:rPr>
                <w:rFonts w:ascii="LindeDaxOffice_russian" w:hAnsi="LindeDaxOffice_russian"/>
                <w:sz w:val="24"/>
                <w:szCs w:val="24"/>
              </w:rPr>
              <w:t>(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>офис АО «Линде Газ Рус»</w:t>
            </w:r>
            <w:r w:rsidR="00AD54CD">
              <w:rPr>
                <w:rFonts w:ascii="LindeDaxOffice_russian" w:hAnsi="LindeDaxOffice_russian"/>
                <w:sz w:val="24"/>
                <w:szCs w:val="24"/>
              </w:rPr>
              <w:t>)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>.</w:t>
            </w:r>
          </w:p>
          <w:p w:rsidR="00474C09" w:rsidRDefault="003F3DBF" w:rsidP="00837093">
            <w:pPr>
              <w:pStyle w:val="a4"/>
              <w:numPr>
                <w:ilvl w:val="0"/>
                <w:numId w:val="24"/>
              </w:num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3F3DBF">
              <w:rPr>
                <w:rFonts w:ascii="LindeDaxOffice_russian" w:hAnsi="LindeDaxOffice_russian"/>
                <w:sz w:val="24"/>
                <w:szCs w:val="24"/>
              </w:rPr>
              <w:t xml:space="preserve">24.02.2016 </w:t>
            </w:r>
            <w:r w:rsidR="00AD54CD">
              <w:rPr>
                <w:rFonts w:ascii="LindeDaxOffice_russian" w:hAnsi="LindeDaxOffice_russian"/>
                <w:sz w:val="24"/>
                <w:szCs w:val="24"/>
              </w:rPr>
              <w:t>(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>офис ООО «</w:t>
            </w:r>
            <w:proofErr w:type="spellStart"/>
            <w:r w:rsidRPr="003F3DBF">
              <w:rPr>
                <w:rFonts w:ascii="LindeDaxOffice_russian" w:hAnsi="LindeDaxOffice_russian"/>
                <w:sz w:val="24"/>
                <w:szCs w:val="24"/>
              </w:rPr>
              <w:t>Праксэа</w:t>
            </w:r>
            <w:proofErr w:type="spellEnd"/>
            <w:r w:rsidRPr="003F3DBF">
              <w:rPr>
                <w:rFonts w:ascii="LindeDaxOffice_russian" w:hAnsi="LindeDaxOffice_russian"/>
                <w:sz w:val="24"/>
                <w:szCs w:val="24"/>
              </w:rPr>
              <w:t xml:space="preserve"> Рус»</w:t>
            </w:r>
            <w:r w:rsidR="00AD54CD">
              <w:rPr>
                <w:rFonts w:ascii="LindeDaxOffice_russian" w:hAnsi="LindeDaxOffice_russian"/>
                <w:sz w:val="24"/>
                <w:szCs w:val="24"/>
              </w:rPr>
              <w:t>)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>.</w:t>
            </w:r>
          </w:p>
          <w:p w:rsidR="00474C09" w:rsidRDefault="003F3DBF" w:rsidP="00837093">
            <w:pPr>
              <w:pStyle w:val="a4"/>
              <w:numPr>
                <w:ilvl w:val="0"/>
                <w:numId w:val="24"/>
              </w:num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3F3DBF">
              <w:rPr>
                <w:rFonts w:ascii="LindeDaxOffice_russian" w:hAnsi="LindeDaxOffice_russian"/>
                <w:sz w:val="24"/>
                <w:szCs w:val="24"/>
              </w:rPr>
              <w:t xml:space="preserve">25.04.2016 </w:t>
            </w:r>
            <w:r w:rsidR="00AD54CD">
              <w:rPr>
                <w:rFonts w:ascii="LindeDaxOffice_russian" w:hAnsi="LindeDaxOffice_russian"/>
                <w:sz w:val="24"/>
                <w:szCs w:val="24"/>
              </w:rPr>
              <w:t>(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 xml:space="preserve">офис ООО «Эйр </w:t>
            </w:r>
            <w:proofErr w:type="spellStart"/>
            <w:r w:rsidRPr="003F3DBF">
              <w:rPr>
                <w:rFonts w:ascii="LindeDaxOffice_russian" w:hAnsi="LindeDaxOffice_russian"/>
                <w:sz w:val="24"/>
                <w:szCs w:val="24"/>
              </w:rPr>
              <w:t>Продактс</w:t>
            </w:r>
            <w:proofErr w:type="spellEnd"/>
            <w:r w:rsidRPr="003F3DBF">
              <w:rPr>
                <w:rFonts w:ascii="LindeDaxOffice_russian" w:hAnsi="LindeDaxOffice_russian"/>
                <w:sz w:val="24"/>
                <w:szCs w:val="24"/>
              </w:rPr>
              <w:t>»</w:t>
            </w:r>
            <w:r w:rsidR="00AD54CD">
              <w:rPr>
                <w:rFonts w:ascii="LindeDaxOffice_russian" w:hAnsi="LindeDaxOffice_russian"/>
                <w:sz w:val="24"/>
                <w:szCs w:val="24"/>
              </w:rPr>
              <w:t>)</w:t>
            </w:r>
            <w:r w:rsidRPr="003F3DBF">
              <w:rPr>
                <w:rFonts w:ascii="LindeDaxOffice_russian" w:hAnsi="LindeDaxOffice_russian"/>
                <w:sz w:val="24"/>
                <w:szCs w:val="24"/>
              </w:rPr>
              <w:t xml:space="preserve"> </w:t>
            </w:r>
          </w:p>
          <w:p w:rsidR="003F3DBF" w:rsidRPr="003F3DBF" w:rsidRDefault="003F3DBF" w:rsidP="00837093">
            <w:pPr>
              <w:pStyle w:val="a4"/>
              <w:ind w:left="0"/>
              <w:jc w:val="both"/>
              <w:rPr>
                <w:rFonts w:ascii="LindeDaxOffice_russian" w:hAnsi="LindeDaxOffice_russian"/>
                <w:sz w:val="24"/>
                <w:szCs w:val="24"/>
              </w:rPr>
            </w:pPr>
          </w:p>
          <w:p w:rsidR="000D375F" w:rsidRPr="00720513" w:rsidRDefault="003F3DBF" w:rsidP="00837093">
            <w:pPr>
              <w:pStyle w:val="a4"/>
              <w:ind w:left="0"/>
              <w:jc w:val="both"/>
              <w:rPr>
                <w:rFonts w:ascii="LindeDaxOffice_russian" w:hAnsi="LindeDaxOffice_russian"/>
                <w:sz w:val="28"/>
                <w:szCs w:val="28"/>
              </w:rPr>
            </w:pPr>
            <w:r w:rsidRPr="00B635E4">
              <w:rPr>
                <w:rFonts w:ascii="LindeDaxOffice_russian" w:hAnsi="LindeDaxOffice_russian"/>
                <w:b/>
                <w:sz w:val="24"/>
                <w:szCs w:val="24"/>
              </w:rPr>
              <w:t>Основными вопросами на повестке дня были:</w:t>
            </w:r>
            <w:r w:rsidR="000D375F">
              <w:rPr>
                <w:rFonts w:ascii="LindeDaxOffice_russian" w:hAnsi="LindeDaxOffice_russian"/>
                <w:sz w:val="28"/>
                <w:szCs w:val="28"/>
              </w:rPr>
              <w:t xml:space="preserve"> </w:t>
            </w:r>
          </w:p>
          <w:p w:rsidR="00C92480" w:rsidRPr="00720513" w:rsidRDefault="00C92480" w:rsidP="00837093">
            <w:pPr>
              <w:pStyle w:val="a4"/>
              <w:ind w:left="0"/>
              <w:jc w:val="both"/>
              <w:rPr>
                <w:rFonts w:ascii="LindeDaxOffice_russian" w:hAnsi="LindeDaxOffice_russian"/>
                <w:sz w:val="28"/>
                <w:szCs w:val="28"/>
              </w:rPr>
            </w:pPr>
          </w:p>
          <w:p w:rsidR="000D375F" w:rsidRPr="00C43411" w:rsidRDefault="000D375F" w:rsidP="00837093">
            <w:pPr>
              <w:pStyle w:val="a4"/>
              <w:numPr>
                <w:ilvl w:val="0"/>
                <w:numId w:val="12"/>
              </w:numPr>
              <w:rPr>
                <w:rFonts w:ascii="LindeDaxOffice_russian" w:hAnsi="LindeDaxOffice_russian" w:cs="Arial"/>
                <w:sz w:val="24"/>
                <w:szCs w:val="24"/>
                <w:u w:val="single"/>
              </w:rPr>
            </w:pPr>
            <w:r w:rsidRPr="00C43411">
              <w:rPr>
                <w:rFonts w:ascii="LindeDaxOffice_russian" w:hAnsi="LindeDaxOffice_russian"/>
                <w:sz w:val="24"/>
                <w:szCs w:val="24"/>
                <w:u w:val="single"/>
                <w:lang w:val="en-US"/>
              </w:rPr>
              <w:t>SHEQ</w:t>
            </w:r>
            <w:r>
              <w:rPr>
                <w:rFonts w:ascii="LindeDaxOffice_russian" w:hAnsi="LindeDaxOffice_russian"/>
                <w:sz w:val="24"/>
                <w:szCs w:val="24"/>
                <w:u w:val="single"/>
              </w:rPr>
              <w:t>:</w:t>
            </w:r>
            <w:r w:rsidRPr="00C43411">
              <w:rPr>
                <w:rFonts w:ascii="LindeDaxOffice_russian" w:hAnsi="LindeDaxOffice_russian"/>
                <w:sz w:val="24"/>
                <w:szCs w:val="24"/>
                <w:u w:val="single"/>
              </w:rPr>
              <w:t xml:space="preserve"> </w:t>
            </w:r>
          </w:p>
          <w:p w:rsidR="000D375F" w:rsidRPr="00C92480" w:rsidRDefault="000D375F" w:rsidP="00837093">
            <w:pPr>
              <w:pStyle w:val="a4"/>
              <w:ind w:left="0" w:firstLine="426"/>
              <w:rPr>
                <w:rFonts w:ascii="LindeDaxOffice_russian" w:hAnsi="LindeDaxOffice_russian" w:cs="Arial"/>
                <w:sz w:val="24"/>
                <w:szCs w:val="24"/>
              </w:rPr>
            </w:pPr>
            <w:r w:rsidRPr="00CD4811">
              <w:rPr>
                <w:rFonts w:ascii="LindeDaxOffice_russian" w:hAnsi="LindeDaxOffice_russian"/>
                <w:sz w:val="24"/>
                <w:szCs w:val="24"/>
              </w:rPr>
              <w:t xml:space="preserve">- </w:t>
            </w:r>
            <w:r w:rsidRPr="00CD4811">
              <w:rPr>
                <w:rFonts w:ascii="LindeDaxOffice_russian" w:hAnsi="LindeDaxOffice_russian" w:cs="Arial"/>
                <w:sz w:val="24"/>
                <w:szCs w:val="24"/>
              </w:rPr>
              <w:t>обмен опытом, уроки из инцидентов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.</w:t>
            </w:r>
          </w:p>
          <w:p w:rsidR="003718F6" w:rsidRPr="00837093" w:rsidRDefault="003718F6" w:rsidP="00837093">
            <w:pPr>
              <w:pStyle w:val="a4"/>
              <w:ind w:left="0" w:firstLine="426"/>
              <w:rPr>
                <w:rFonts w:ascii="LindeDaxOffice_russian" w:hAnsi="LindeDaxOffice_russian" w:cs="Arial"/>
              </w:rPr>
            </w:pPr>
          </w:p>
          <w:p w:rsidR="00F53D6F" w:rsidRPr="00C92480" w:rsidRDefault="00F53D6F" w:rsidP="00837093">
            <w:pPr>
              <w:pStyle w:val="a4"/>
              <w:ind w:left="0" w:firstLine="426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0D375F" w:rsidRPr="00C43411" w:rsidRDefault="000D375F" w:rsidP="00837093">
            <w:pPr>
              <w:pStyle w:val="a4"/>
              <w:numPr>
                <w:ilvl w:val="0"/>
                <w:numId w:val="12"/>
              </w:numPr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C43411">
              <w:rPr>
                <w:rFonts w:ascii="LindeDaxOffice_russian" w:hAnsi="LindeDaxOffice_russian" w:cs="Arial"/>
                <w:sz w:val="24"/>
                <w:szCs w:val="24"/>
                <w:u w:val="single"/>
              </w:rPr>
              <w:t xml:space="preserve">Собственность </w:t>
            </w:r>
            <w:r w:rsidR="00634CA4">
              <w:rPr>
                <w:rFonts w:ascii="LindeDaxOffice_russian" w:hAnsi="LindeDaxOffice_russian" w:cs="Arial"/>
                <w:sz w:val="24"/>
                <w:szCs w:val="24"/>
                <w:u w:val="single"/>
              </w:rPr>
              <w:t xml:space="preserve">на </w:t>
            </w:r>
            <w:r w:rsidRPr="00C43411">
              <w:rPr>
                <w:rFonts w:ascii="LindeDaxOffice_russian" w:hAnsi="LindeDaxOffice_russian" w:cs="Arial"/>
                <w:sz w:val="24"/>
                <w:szCs w:val="24"/>
                <w:u w:val="single"/>
              </w:rPr>
              <w:t>баллон</w:t>
            </w:r>
            <w:r w:rsidR="00634CA4">
              <w:rPr>
                <w:rFonts w:ascii="LindeDaxOffice_russian" w:hAnsi="LindeDaxOffice_russian" w:cs="Arial"/>
                <w:sz w:val="24"/>
                <w:szCs w:val="24"/>
                <w:u w:val="single"/>
              </w:rPr>
              <w:t>ы</w:t>
            </w:r>
            <w:r>
              <w:rPr>
                <w:rFonts w:ascii="LindeDaxOffice_russian" w:hAnsi="LindeDaxOffice_russian" w:cs="Arial"/>
                <w:sz w:val="24"/>
                <w:szCs w:val="24"/>
                <w:u w:val="single"/>
              </w:rPr>
              <w:t>:</w:t>
            </w:r>
          </w:p>
          <w:p w:rsidR="000D375F" w:rsidRPr="00720513" w:rsidRDefault="000D375F" w:rsidP="00837093">
            <w:pPr>
              <w:pStyle w:val="a4"/>
              <w:ind w:left="0" w:firstLine="426"/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C43411">
              <w:rPr>
                <w:rFonts w:ascii="LindeDaxOffice_russian" w:hAnsi="LindeDaxOffice_russian" w:cs="Arial"/>
                <w:sz w:val="24"/>
                <w:szCs w:val="24"/>
              </w:rPr>
              <w:t xml:space="preserve"> - внедрение на территории России модели "собственника баллонов".</w:t>
            </w:r>
          </w:p>
          <w:p w:rsidR="00C92480" w:rsidRPr="00720513" w:rsidRDefault="00C92480" w:rsidP="00837093">
            <w:pPr>
              <w:pStyle w:val="a4"/>
              <w:ind w:left="0" w:firstLine="426"/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0D375F" w:rsidRPr="00C43411" w:rsidRDefault="000D375F" w:rsidP="00837093">
            <w:pPr>
              <w:pStyle w:val="a4"/>
              <w:numPr>
                <w:ilvl w:val="0"/>
                <w:numId w:val="12"/>
              </w:num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C43411">
              <w:rPr>
                <w:rFonts w:ascii="LindeDaxOffice_russian" w:hAnsi="LindeDaxOffice_russian" w:cs="Arial"/>
                <w:sz w:val="24"/>
                <w:szCs w:val="24"/>
                <w:u w:val="single"/>
              </w:rPr>
              <w:t>Типовой баллон 50 литров</w:t>
            </w:r>
            <w:r w:rsidR="00837093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,</w:t>
            </w:r>
            <w:r w:rsidRPr="00C43411">
              <w:rPr>
                <w:rFonts w:ascii="LindeDaxOffice_russian" w:hAnsi="LindeDaxOffice_russian" w:cs="Arial"/>
                <w:sz w:val="24"/>
                <w:szCs w:val="24"/>
                <w:u w:val="single"/>
              </w:rPr>
              <w:t xml:space="preserve"> 200 бар</w:t>
            </w:r>
            <w:r>
              <w:rPr>
                <w:rFonts w:ascii="LindeDaxOffice_russian" w:hAnsi="LindeDaxOffice_russian" w:cs="Arial"/>
                <w:sz w:val="24"/>
                <w:szCs w:val="24"/>
                <w:u w:val="single"/>
              </w:rPr>
              <w:t>:</w:t>
            </w:r>
          </w:p>
          <w:p w:rsidR="000D375F" w:rsidRPr="00720513" w:rsidRDefault="000D375F" w:rsidP="00837093">
            <w:pPr>
              <w:pStyle w:val="a4"/>
              <w:tabs>
                <w:tab w:val="left" w:pos="709"/>
              </w:tabs>
              <w:ind w:left="0" w:firstLine="426"/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-</w:t>
            </w:r>
            <w:r w:rsidR="00C06B74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Pr="00C43411">
              <w:rPr>
                <w:rFonts w:ascii="LindeDaxOffice_russian" w:hAnsi="LindeDaxOffice_russian" w:cs="Arial"/>
                <w:sz w:val="24"/>
                <w:szCs w:val="24"/>
              </w:rPr>
              <w:t>утверждение технических характеристик «универсального» баллона 50 литров, 200 бар для российских производителей.</w:t>
            </w:r>
          </w:p>
          <w:p w:rsidR="00C92480" w:rsidRPr="00720513" w:rsidRDefault="00C92480" w:rsidP="00837093">
            <w:pPr>
              <w:pStyle w:val="a4"/>
              <w:tabs>
                <w:tab w:val="left" w:pos="709"/>
              </w:tabs>
              <w:ind w:left="0" w:firstLine="426"/>
              <w:jc w:val="both"/>
              <w:rPr>
                <w:rFonts w:ascii="LindeDaxOffice_russian" w:hAnsi="LindeDaxOffice_russian"/>
                <w:sz w:val="24"/>
                <w:szCs w:val="24"/>
              </w:rPr>
            </w:pPr>
          </w:p>
          <w:p w:rsidR="000D375F" w:rsidRPr="00C43411" w:rsidRDefault="000D375F" w:rsidP="00837093">
            <w:pPr>
              <w:pStyle w:val="a4"/>
              <w:numPr>
                <w:ilvl w:val="0"/>
                <w:numId w:val="12"/>
              </w:num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C43411">
              <w:rPr>
                <w:rFonts w:ascii="LindeDaxOffice_russian" w:hAnsi="LindeDaxOffice_russian"/>
                <w:sz w:val="24"/>
                <w:szCs w:val="24"/>
                <w:u w:val="single"/>
              </w:rPr>
              <w:t>Вопросы разработки новых стандартов</w:t>
            </w:r>
            <w:r>
              <w:rPr>
                <w:rFonts w:ascii="LindeDaxOffice_russian" w:hAnsi="LindeDaxOffice_russian"/>
                <w:sz w:val="24"/>
                <w:szCs w:val="24"/>
                <w:u w:val="single"/>
              </w:rPr>
              <w:t>:</w:t>
            </w:r>
          </w:p>
          <w:p w:rsidR="000D375F" w:rsidRPr="00720513" w:rsidRDefault="000D375F" w:rsidP="00837093">
            <w:pPr>
              <w:pStyle w:val="a4"/>
              <w:ind w:left="0" w:firstLine="426"/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C43411">
              <w:rPr>
                <w:rFonts w:ascii="LindeDaxOffice_russian" w:hAnsi="LindeDaxOffice_russian"/>
                <w:sz w:val="24"/>
                <w:szCs w:val="24"/>
              </w:rPr>
              <w:t xml:space="preserve"> - </w:t>
            </w:r>
            <w:r w:rsidRPr="00C43411">
              <w:rPr>
                <w:rFonts w:ascii="LindeDaxOffice_russian" w:hAnsi="LindeDaxOffice_russian" w:cs="Arial"/>
                <w:sz w:val="24"/>
                <w:szCs w:val="24"/>
              </w:rPr>
              <w:t xml:space="preserve">участие </w:t>
            </w:r>
            <w:r w:rsidR="00634CA4">
              <w:rPr>
                <w:rFonts w:ascii="LindeDaxOffice_russian" w:hAnsi="LindeDaxOffice_russian" w:cs="Arial"/>
                <w:sz w:val="24"/>
                <w:szCs w:val="24"/>
              </w:rPr>
              <w:t>А</w:t>
            </w:r>
            <w:r w:rsidRPr="00C43411">
              <w:rPr>
                <w:rFonts w:ascii="LindeDaxOffice_russian" w:hAnsi="LindeDaxOffice_russian" w:cs="Arial"/>
                <w:sz w:val="24"/>
                <w:szCs w:val="24"/>
              </w:rPr>
              <w:t xml:space="preserve">ссоциации в вопросах подготовки новых стандартов, в т.ч. </w:t>
            </w:r>
            <w:r w:rsidR="00634CA4">
              <w:rPr>
                <w:rFonts w:ascii="LindeDaxOffice_russian" w:hAnsi="LindeDaxOffice_russian" w:cs="Arial"/>
                <w:sz w:val="24"/>
                <w:szCs w:val="24"/>
              </w:rPr>
              <w:t xml:space="preserve">для </w:t>
            </w:r>
            <w:r w:rsidRPr="00C43411">
              <w:rPr>
                <w:rFonts w:ascii="LindeDaxOffice_russian" w:hAnsi="LindeDaxOffice_russian" w:cs="Arial"/>
                <w:sz w:val="24"/>
                <w:szCs w:val="24"/>
              </w:rPr>
              <w:t>баллонн</w:t>
            </w:r>
            <w:r w:rsidR="00634CA4">
              <w:rPr>
                <w:rFonts w:ascii="LindeDaxOffice_russian" w:hAnsi="LindeDaxOffice_russian" w:cs="Arial"/>
                <w:sz w:val="24"/>
                <w:szCs w:val="24"/>
              </w:rPr>
              <w:t>ой</w:t>
            </w:r>
            <w:r w:rsidRPr="00C43411">
              <w:rPr>
                <w:rFonts w:ascii="LindeDaxOffice_russian" w:hAnsi="LindeDaxOffice_russian" w:cs="Arial"/>
                <w:sz w:val="24"/>
                <w:szCs w:val="24"/>
              </w:rPr>
              <w:t xml:space="preserve"> арматур</w:t>
            </w:r>
            <w:r w:rsidR="00634CA4">
              <w:rPr>
                <w:rFonts w:ascii="LindeDaxOffice_russian" w:hAnsi="LindeDaxOffice_russian" w:cs="Arial"/>
                <w:sz w:val="24"/>
                <w:szCs w:val="24"/>
              </w:rPr>
              <w:t>ы</w:t>
            </w:r>
            <w:r w:rsidRPr="00C43411">
              <w:rPr>
                <w:rFonts w:ascii="LindeDaxOffice_russian" w:hAnsi="LindeDaxOffice_russian" w:cs="Arial"/>
                <w:sz w:val="24"/>
                <w:szCs w:val="24"/>
              </w:rPr>
              <w:t xml:space="preserve"> (RPV </w:t>
            </w:r>
            <w:proofErr w:type="spellStart"/>
            <w:r w:rsidRPr="00C43411">
              <w:rPr>
                <w:rFonts w:ascii="LindeDaxOffice_russian" w:hAnsi="LindeDaxOffice_russian" w:cs="Arial"/>
                <w:sz w:val="24"/>
                <w:szCs w:val="24"/>
              </w:rPr>
              <w:t>for</w:t>
            </w:r>
            <w:proofErr w:type="spellEnd"/>
            <w:r w:rsidRPr="00C43411">
              <w:rPr>
                <w:rFonts w:ascii="LindeDaxOffice_russian" w:hAnsi="LindeDaxOffice_russian" w:cs="Arial"/>
                <w:sz w:val="24"/>
                <w:szCs w:val="24"/>
              </w:rPr>
              <w:t xml:space="preserve"> O2 </w:t>
            </w:r>
            <w:proofErr w:type="spellStart"/>
            <w:r w:rsidRPr="00C43411">
              <w:rPr>
                <w:rFonts w:ascii="LindeDaxOffice_russian" w:hAnsi="LindeDaxOffice_russian" w:cs="Arial"/>
                <w:sz w:val="24"/>
                <w:szCs w:val="24"/>
              </w:rPr>
              <w:t>med</w:t>
            </w:r>
            <w:proofErr w:type="spellEnd"/>
            <w:r w:rsidRPr="00C43411">
              <w:rPr>
                <w:rFonts w:ascii="LindeDaxOffice_russian" w:hAnsi="LindeDaxOffice_russian" w:cs="Arial"/>
                <w:sz w:val="24"/>
                <w:szCs w:val="24"/>
              </w:rPr>
              <w:t>, резьбы)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.</w:t>
            </w:r>
          </w:p>
          <w:p w:rsidR="00C92480" w:rsidRPr="00720513" w:rsidRDefault="00C92480" w:rsidP="00837093">
            <w:pPr>
              <w:pStyle w:val="a4"/>
              <w:ind w:left="0" w:firstLine="426"/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0D375F" w:rsidRPr="00C43411" w:rsidRDefault="000D375F" w:rsidP="00837093">
            <w:pPr>
              <w:pStyle w:val="a4"/>
              <w:numPr>
                <w:ilvl w:val="0"/>
                <w:numId w:val="12"/>
              </w:numPr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C43411">
              <w:rPr>
                <w:rFonts w:ascii="LindeDaxOffice_russian" w:hAnsi="LindeDaxOffice_russian"/>
                <w:sz w:val="24"/>
                <w:szCs w:val="24"/>
                <w:u w:val="single"/>
              </w:rPr>
              <w:t>Методика проведения ТО импортных</w:t>
            </w:r>
            <w:r w:rsidR="00F53D6F">
              <w:rPr>
                <w:rFonts w:ascii="LindeDaxOffice_russian" w:hAnsi="LindeDaxOffice_russian"/>
                <w:sz w:val="24"/>
                <w:szCs w:val="24"/>
                <w:u w:val="single"/>
              </w:rPr>
              <w:t xml:space="preserve"> </w:t>
            </w:r>
            <w:r w:rsidRPr="00C43411">
              <w:rPr>
                <w:rFonts w:ascii="LindeDaxOffice_russian" w:hAnsi="LindeDaxOffice_russian"/>
                <w:sz w:val="24"/>
                <w:szCs w:val="24"/>
                <w:u w:val="single"/>
              </w:rPr>
              <w:t>баллонов</w:t>
            </w:r>
            <w:r>
              <w:rPr>
                <w:rFonts w:ascii="LindeDaxOffice_russian" w:hAnsi="LindeDaxOffice_russian"/>
                <w:sz w:val="24"/>
                <w:szCs w:val="24"/>
                <w:u w:val="single"/>
              </w:rPr>
              <w:t>:</w:t>
            </w:r>
          </w:p>
          <w:p w:rsidR="000D375F" w:rsidRPr="00720513" w:rsidRDefault="000D375F" w:rsidP="00837093">
            <w:pPr>
              <w:pStyle w:val="a4"/>
              <w:ind w:left="0" w:firstLine="426"/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C43411">
              <w:rPr>
                <w:rFonts w:ascii="LindeDaxOffice_russian" w:hAnsi="LindeDaxOffice_russian"/>
                <w:sz w:val="24"/>
                <w:szCs w:val="24"/>
              </w:rPr>
              <w:lastRenderedPageBreak/>
              <w:t xml:space="preserve"> - в</w:t>
            </w:r>
            <w:r w:rsidRPr="00C43411">
              <w:rPr>
                <w:rFonts w:ascii="LindeDaxOffice_russian" w:hAnsi="LindeDaxOffice_russian" w:cs="Arial"/>
                <w:sz w:val="24"/>
                <w:szCs w:val="24"/>
              </w:rPr>
              <w:t xml:space="preserve">недрение EU стандартов проведения ТО баллонов (период, методы, АСЕ и </w:t>
            </w:r>
            <w:proofErr w:type="spellStart"/>
            <w:proofErr w:type="gramStart"/>
            <w:r w:rsidRPr="00C43411">
              <w:rPr>
                <w:rFonts w:ascii="LindeDaxOffice_russian" w:hAnsi="LindeDaxOffice_russian" w:cs="Arial"/>
                <w:sz w:val="24"/>
                <w:szCs w:val="24"/>
              </w:rPr>
              <w:t>пр</w:t>
            </w:r>
            <w:proofErr w:type="spellEnd"/>
            <w:proofErr w:type="gramEnd"/>
            <w:r w:rsidRPr="00C43411">
              <w:rPr>
                <w:rFonts w:ascii="LindeDaxOffice_russian" w:hAnsi="LindeDaxOffice_russian" w:cs="Arial"/>
                <w:sz w:val="24"/>
                <w:szCs w:val="24"/>
              </w:rPr>
              <w:t>).</w:t>
            </w:r>
          </w:p>
          <w:p w:rsidR="00C92480" w:rsidRPr="001B058B" w:rsidRDefault="00C92480" w:rsidP="00837093">
            <w:pPr>
              <w:pStyle w:val="a4"/>
              <w:ind w:left="0" w:firstLine="426"/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837093" w:rsidRPr="001B058B" w:rsidRDefault="00837093" w:rsidP="00837093">
            <w:pPr>
              <w:pStyle w:val="a4"/>
              <w:ind w:left="0" w:firstLine="426"/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0D375F" w:rsidRDefault="000D375F" w:rsidP="00837093">
            <w:pPr>
              <w:pStyle w:val="a4"/>
              <w:numPr>
                <w:ilvl w:val="0"/>
                <w:numId w:val="12"/>
              </w:numPr>
              <w:rPr>
                <w:rFonts w:ascii="LindeDaxOffice_russian" w:hAnsi="LindeDaxOffice_russian"/>
                <w:sz w:val="24"/>
                <w:szCs w:val="24"/>
              </w:rPr>
            </w:pPr>
            <w:r w:rsidRPr="00C43411">
              <w:rPr>
                <w:rFonts w:ascii="LindeDaxOffice_russian" w:hAnsi="LindeDaxOffice_russian"/>
                <w:sz w:val="24"/>
                <w:szCs w:val="24"/>
                <w:u w:val="single"/>
              </w:rPr>
              <w:t>Борьба с недобросовестными поставщиками продукции и услу</w:t>
            </w:r>
            <w:r>
              <w:rPr>
                <w:rFonts w:ascii="LindeDaxOffice_russian" w:hAnsi="LindeDaxOffice_russian"/>
                <w:sz w:val="24"/>
                <w:szCs w:val="24"/>
                <w:u w:val="single"/>
              </w:rPr>
              <w:t>г:</w:t>
            </w:r>
            <w:r w:rsidRPr="00C43411">
              <w:rPr>
                <w:rFonts w:ascii="LindeDaxOffice_russian" w:hAnsi="LindeDaxOffice_russian"/>
                <w:sz w:val="24"/>
                <w:szCs w:val="24"/>
              </w:rPr>
              <w:t xml:space="preserve"> </w:t>
            </w:r>
          </w:p>
          <w:p w:rsidR="002E3F7E" w:rsidRDefault="000D375F" w:rsidP="00837093">
            <w:pPr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C43411">
              <w:rPr>
                <w:rFonts w:ascii="LindeDaxOffice_russian" w:hAnsi="LindeDaxOffice_russian"/>
                <w:sz w:val="24"/>
                <w:szCs w:val="24"/>
              </w:rPr>
              <w:t>- в</w:t>
            </w:r>
            <w:r w:rsidRPr="00C43411">
              <w:rPr>
                <w:rFonts w:ascii="LindeDaxOffice_russian" w:hAnsi="LindeDaxOffice_russian" w:cs="Arial"/>
                <w:sz w:val="24"/>
                <w:szCs w:val="24"/>
              </w:rPr>
              <w:t>недрение системы контроля за нелегальными производителями и компаниями, предоставляющими услуги ТО.</w:t>
            </w:r>
          </w:p>
          <w:p w:rsidR="00B635E4" w:rsidRDefault="00B635E4" w:rsidP="00837093">
            <w:pPr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3F3DBF" w:rsidRDefault="003F3DBF" w:rsidP="00837093">
            <w:pPr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B635E4">
              <w:rPr>
                <w:rFonts w:ascii="LindeDaxOffice_russian" w:hAnsi="LindeDaxOffice_russian" w:cs="Arial"/>
                <w:b/>
                <w:sz w:val="24"/>
                <w:szCs w:val="24"/>
              </w:rPr>
              <w:t xml:space="preserve">Результатами работы </w:t>
            </w:r>
            <w:r w:rsidR="00634CA4">
              <w:rPr>
                <w:rFonts w:ascii="LindeDaxOffice_russian" w:hAnsi="LindeDaxOffice_russian" w:cs="Arial"/>
                <w:b/>
                <w:sz w:val="24"/>
                <w:szCs w:val="24"/>
              </w:rPr>
              <w:t>Г</w:t>
            </w:r>
            <w:r w:rsidR="00A7184B" w:rsidRPr="00B635E4">
              <w:rPr>
                <w:rFonts w:ascii="LindeDaxOffice_russian" w:hAnsi="LindeDaxOffice_russian" w:cs="Arial"/>
                <w:b/>
                <w:sz w:val="24"/>
                <w:szCs w:val="24"/>
              </w:rPr>
              <w:t xml:space="preserve">руппы </w:t>
            </w:r>
            <w:r w:rsidRPr="00B635E4">
              <w:rPr>
                <w:rFonts w:ascii="LindeDaxOffice_russian" w:hAnsi="LindeDaxOffice_russian" w:cs="Arial"/>
                <w:b/>
                <w:sz w:val="24"/>
                <w:szCs w:val="24"/>
              </w:rPr>
              <w:t>стали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:</w:t>
            </w:r>
          </w:p>
          <w:p w:rsidR="003F3DBF" w:rsidRDefault="003F3DBF" w:rsidP="00837093">
            <w:pPr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A7184B" w:rsidRDefault="00A7184B" w:rsidP="00837093">
            <w:pPr>
              <w:pStyle w:val="a4"/>
              <w:numPr>
                <w:ilvl w:val="0"/>
                <w:numId w:val="20"/>
              </w:numPr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C43411">
              <w:rPr>
                <w:rFonts w:ascii="LindeDaxOffice_russian" w:hAnsi="LindeDaxOffice_russian"/>
                <w:sz w:val="24"/>
                <w:szCs w:val="24"/>
                <w:u w:val="single"/>
                <w:lang w:val="en-US"/>
              </w:rPr>
              <w:t>SHEQ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.</w:t>
            </w:r>
          </w:p>
          <w:p w:rsidR="00A7184B" w:rsidRDefault="00A7184B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A7184B" w:rsidRPr="00A7184B" w:rsidRDefault="00634CA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>К</w:t>
            </w:r>
            <w:r w:rsidR="00A7184B">
              <w:rPr>
                <w:rFonts w:ascii="LindeDaxOffice_russian" w:hAnsi="LindeDaxOffice_russian" w:cs="Arial"/>
                <w:sz w:val="24"/>
                <w:szCs w:val="24"/>
              </w:rPr>
              <w:t xml:space="preserve">омпанией </w:t>
            </w:r>
            <w:r w:rsidR="00A7184B" w:rsidRPr="003F3DBF">
              <w:rPr>
                <w:rFonts w:ascii="LindeDaxOffice_russian" w:hAnsi="LindeDaxOffice_russian"/>
                <w:sz w:val="24"/>
                <w:szCs w:val="24"/>
              </w:rPr>
              <w:t>ООО «</w:t>
            </w:r>
            <w:proofErr w:type="spellStart"/>
            <w:r w:rsidR="00A7184B" w:rsidRPr="003F3DBF">
              <w:rPr>
                <w:rFonts w:ascii="LindeDaxOffice_russian" w:hAnsi="LindeDaxOffice_russian"/>
                <w:sz w:val="24"/>
                <w:szCs w:val="24"/>
              </w:rPr>
              <w:t>Праксэа</w:t>
            </w:r>
            <w:proofErr w:type="spellEnd"/>
            <w:r w:rsidR="00A7184B" w:rsidRPr="003F3DBF">
              <w:rPr>
                <w:rFonts w:ascii="LindeDaxOffice_russian" w:hAnsi="LindeDaxOffice_russian"/>
                <w:sz w:val="24"/>
                <w:szCs w:val="24"/>
              </w:rPr>
              <w:t xml:space="preserve"> </w:t>
            </w:r>
            <w:proofErr w:type="gramStart"/>
            <w:r w:rsidR="00A7184B" w:rsidRPr="003F3DBF">
              <w:rPr>
                <w:rFonts w:ascii="LindeDaxOffice_russian" w:hAnsi="LindeDaxOffice_russian"/>
                <w:sz w:val="24"/>
                <w:szCs w:val="24"/>
              </w:rPr>
              <w:t>Рус</w:t>
            </w:r>
            <w:proofErr w:type="gramEnd"/>
            <w:r w:rsidR="00A7184B" w:rsidRPr="003F3DBF">
              <w:rPr>
                <w:rFonts w:ascii="LindeDaxOffice_russian" w:hAnsi="LindeDaxOffice_russian"/>
                <w:sz w:val="24"/>
                <w:szCs w:val="24"/>
              </w:rPr>
              <w:t>»</w:t>
            </w:r>
            <w:r w:rsidR="00A7184B">
              <w:rPr>
                <w:rFonts w:ascii="LindeDaxOffice_russian" w:hAnsi="LindeDaxOffice_russian"/>
                <w:sz w:val="24"/>
                <w:szCs w:val="24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</w:rPr>
              <w:t>б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ыла сделана презентация </w:t>
            </w:r>
            <w:r w:rsidR="00A7184B">
              <w:rPr>
                <w:rFonts w:ascii="LindeDaxOffice_russian" w:hAnsi="LindeDaxOffice_russian"/>
                <w:sz w:val="24"/>
                <w:szCs w:val="24"/>
              </w:rPr>
              <w:t>об основных инцидентах при эксплуатации баллонов.</w:t>
            </w:r>
            <w:r w:rsidR="00372396" w:rsidRPr="00372396">
              <w:rPr>
                <w:rFonts w:ascii="LindeDaxOffice_russian" w:hAnsi="LindeDaxOffice_russian"/>
                <w:sz w:val="24"/>
                <w:szCs w:val="24"/>
              </w:rPr>
              <w:t xml:space="preserve"> </w:t>
            </w:r>
            <w:r w:rsidR="00372396" w:rsidRPr="00372396">
              <w:rPr>
                <w:rFonts w:ascii="LindeDaxOffice_russian" w:hAnsi="LindeDaxOffice_russian" w:cs="Arial"/>
                <w:sz w:val="24"/>
                <w:szCs w:val="24"/>
              </w:rPr>
              <w:t>Компанией ООО фирма «</w:t>
            </w:r>
            <w:proofErr w:type="spellStart"/>
            <w:r w:rsidR="00372396" w:rsidRPr="00372396">
              <w:rPr>
                <w:rFonts w:ascii="LindeDaxOffice_russian" w:hAnsi="LindeDaxOffice_russian" w:cs="Arial"/>
                <w:sz w:val="24"/>
                <w:szCs w:val="24"/>
              </w:rPr>
              <w:t>Криоген</w:t>
            </w:r>
            <w:proofErr w:type="spellEnd"/>
            <w:r w:rsidR="00372396" w:rsidRPr="00372396">
              <w:rPr>
                <w:rFonts w:ascii="LindeDaxOffice_russian" w:hAnsi="LindeDaxOffice_russian" w:cs="Arial"/>
                <w:sz w:val="24"/>
                <w:szCs w:val="24"/>
              </w:rPr>
              <w:t>» была сделана презентация о качестве изготовления баллонов 50 литров 200 бар российскими производителями.</w:t>
            </w:r>
            <w:r w:rsidR="00A7184B" w:rsidRPr="00372396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="00A16A05">
              <w:rPr>
                <w:rFonts w:ascii="LindeDaxOffice_russian" w:hAnsi="LindeDaxOffice_russian"/>
                <w:sz w:val="24"/>
                <w:szCs w:val="24"/>
              </w:rPr>
              <w:t>На встречах рабочей группы «</w:t>
            </w:r>
            <w:r>
              <w:rPr>
                <w:rFonts w:ascii="LindeDaxOffice_russian" w:hAnsi="LindeDaxOffice_russian"/>
                <w:sz w:val="24"/>
                <w:szCs w:val="24"/>
              </w:rPr>
              <w:t>Газовые б</w:t>
            </w:r>
            <w:r w:rsidR="00A16A05">
              <w:rPr>
                <w:rFonts w:ascii="LindeDaxOffice_russian" w:hAnsi="LindeDaxOffice_russian"/>
                <w:sz w:val="24"/>
                <w:szCs w:val="24"/>
              </w:rPr>
              <w:t>аллоны» постоянно идет о</w:t>
            </w:r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>бсуждение опыта эксплуатации баллонов на территории России.</w:t>
            </w:r>
          </w:p>
          <w:p w:rsidR="00A7184B" w:rsidRPr="00A7184B" w:rsidRDefault="00A7184B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A7184B" w:rsidRPr="00A7184B" w:rsidRDefault="00A7184B" w:rsidP="00837093">
            <w:pPr>
              <w:pStyle w:val="a4"/>
              <w:numPr>
                <w:ilvl w:val="0"/>
                <w:numId w:val="20"/>
              </w:numPr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C43411">
              <w:rPr>
                <w:rFonts w:ascii="LindeDaxOffice_russian" w:hAnsi="LindeDaxOffice_russian" w:cs="Arial"/>
                <w:sz w:val="24"/>
                <w:szCs w:val="24"/>
                <w:u w:val="single"/>
              </w:rPr>
              <w:t xml:space="preserve">Собственность </w:t>
            </w:r>
            <w:r w:rsidR="00634CA4">
              <w:rPr>
                <w:rFonts w:ascii="LindeDaxOffice_russian" w:hAnsi="LindeDaxOffice_russian" w:cs="Arial"/>
                <w:sz w:val="24"/>
                <w:szCs w:val="24"/>
                <w:u w:val="single"/>
              </w:rPr>
              <w:t xml:space="preserve">на </w:t>
            </w:r>
            <w:r w:rsidRPr="00C43411">
              <w:rPr>
                <w:rFonts w:ascii="LindeDaxOffice_russian" w:hAnsi="LindeDaxOffice_russian" w:cs="Arial"/>
                <w:sz w:val="24"/>
                <w:szCs w:val="24"/>
                <w:u w:val="single"/>
              </w:rPr>
              <w:t>баллон</w:t>
            </w:r>
            <w:r w:rsidR="00634CA4">
              <w:rPr>
                <w:rFonts w:ascii="LindeDaxOffice_russian" w:hAnsi="LindeDaxOffice_russian" w:cs="Arial"/>
                <w:sz w:val="24"/>
                <w:szCs w:val="24"/>
                <w:u w:val="single"/>
              </w:rPr>
              <w:t>ы</w:t>
            </w:r>
          </w:p>
          <w:p w:rsidR="00A7184B" w:rsidRDefault="00A7184B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sz w:val="24"/>
                <w:szCs w:val="24"/>
              </w:rPr>
            </w:pPr>
          </w:p>
          <w:p w:rsidR="00C06B74" w:rsidRDefault="00A7184B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>
              <w:rPr>
                <w:rFonts w:ascii="LindeDaxOffice_russian" w:hAnsi="LindeDaxOffice_russian"/>
                <w:sz w:val="24"/>
                <w:szCs w:val="24"/>
              </w:rPr>
              <w:t xml:space="preserve">В рамках разработки концепции </w:t>
            </w:r>
            <w:r w:rsidR="00EA2072">
              <w:rPr>
                <w:rFonts w:ascii="LindeDaxOffice_russian" w:hAnsi="LindeDaxOffice_russian"/>
                <w:sz w:val="24"/>
                <w:szCs w:val="24"/>
              </w:rPr>
              <w:t>«</w:t>
            </w:r>
            <w:r>
              <w:rPr>
                <w:rFonts w:ascii="LindeDaxOffice_russian" w:hAnsi="LindeDaxOffice_russian"/>
                <w:sz w:val="24"/>
                <w:szCs w:val="24"/>
              </w:rPr>
              <w:t>собственни</w:t>
            </w:r>
            <w:r w:rsidR="00EA2072">
              <w:rPr>
                <w:rFonts w:ascii="LindeDaxOffice_russian" w:hAnsi="LindeDaxOffice_russian"/>
                <w:sz w:val="24"/>
                <w:szCs w:val="24"/>
              </w:rPr>
              <w:t>к</w:t>
            </w:r>
            <w:r>
              <w:rPr>
                <w:rFonts w:ascii="LindeDaxOffice_russian" w:hAnsi="LindeDaxOffice_russian"/>
                <w:sz w:val="24"/>
                <w:szCs w:val="24"/>
              </w:rPr>
              <w:t xml:space="preserve"> баллона</w:t>
            </w:r>
            <w:r w:rsidR="00EA2072">
              <w:rPr>
                <w:rFonts w:ascii="LindeDaxOffice_russian" w:hAnsi="LindeDaxOffice_russian"/>
                <w:sz w:val="24"/>
                <w:szCs w:val="24"/>
              </w:rPr>
              <w:t>»</w:t>
            </w:r>
            <w:r w:rsidR="00837093">
              <w:rPr>
                <w:rFonts w:ascii="LindeDaxOffice_russian" w:hAnsi="LindeDaxOffice_russian"/>
                <w:sz w:val="24"/>
                <w:szCs w:val="24"/>
              </w:rPr>
              <w:t>, был изучен в</w:t>
            </w:r>
            <w:r>
              <w:rPr>
                <w:rFonts w:ascii="LindeDaxOffice_russian" w:hAnsi="LindeDaxOffice_russian"/>
                <w:sz w:val="24"/>
                <w:szCs w:val="24"/>
              </w:rPr>
              <w:t xml:space="preserve">осточноевропейский опыт перехода от </w:t>
            </w:r>
            <w:r w:rsidR="00EC6038">
              <w:rPr>
                <w:rFonts w:ascii="LindeDaxOffice_russian" w:hAnsi="LindeDaxOffice_russian"/>
                <w:sz w:val="24"/>
                <w:szCs w:val="24"/>
              </w:rPr>
              <w:t>обезличенной моде</w:t>
            </w:r>
            <w:r>
              <w:rPr>
                <w:rFonts w:ascii="LindeDaxOffice_russian" w:hAnsi="LindeDaxOffice_russian"/>
                <w:sz w:val="24"/>
                <w:szCs w:val="24"/>
              </w:rPr>
              <w:t xml:space="preserve">ли к модели собственника баллона. По итогам работы было принято решение разработать </w:t>
            </w:r>
            <w:r w:rsidR="00EC6038" w:rsidRPr="00EC6038">
              <w:rPr>
                <w:rFonts w:ascii="LindeDaxOffice_russian" w:hAnsi="LindeDaxOffice_russian"/>
                <w:sz w:val="24"/>
                <w:szCs w:val="24"/>
              </w:rPr>
              <w:t xml:space="preserve">Предложения к внесению поправок в Федеральные нормы и правила в области промышленной безопасности “Правила промышленной безопасности опасных производственных объектов, на которых используется оборудование, работающее под </w:t>
            </w:r>
            <w:r w:rsidR="00227679" w:rsidRPr="00720513">
              <w:rPr>
                <w:rFonts w:ascii="LindeDaxOffice_russian" w:hAnsi="LindeDaxOffice_russian"/>
                <w:sz w:val="24"/>
                <w:szCs w:val="24"/>
              </w:rPr>
              <w:t>избыточным</w:t>
            </w:r>
            <w:r w:rsidR="00227679">
              <w:rPr>
                <w:rFonts w:ascii="LindeDaxOffice_russian" w:hAnsi="LindeDaxOffice_russian"/>
                <w:i/>
                <w:sz w:val="24"/>
                <w:szCs w:val="24"/>
              </w:rPr>
              <w:t xml:space="preserve"> </w:t>
            </w:r>
            <w:r w:rsidR="00EC6038" w:rsidRPr="00EC6038">
              <w:rPr>
                <w:rFonts w:ascii="LindeDaxOffice_russian" w:hAnsi="LindeDaxOffice_russian"/>
                <w:sz w:val="24"/>
                <w:szCs w:val="24"/>
              </w:rPr>
              <w:t>давлением”</w:t>
            </w:r>
            <w:r w:rsidR="00EC6038">
              <w:rPr>
                <w:rFonts w:ascii="LindeDaxOffice_russian" w:hAnsi="LindeDaxOffice_russian"/>
                <w:sz w:val="24"/>
                <w:szCs w:val="24"/>
              </w:rPr>
              <w:t xml:space="preserve">. </w:t>
            </w:r>
            <w:r w:rsidR="00C06B74">
              <w:rPr>
                <w:rFonts w:ascii="LindeDaxOffice_russian" w:hAnsi="LindeDaxOffice_russian"/>
                <w:sz w:val="24"/>
                <w:szCs w:val="24"/>
              </w:rPr>
              <w:t xml:space="preserve">В текст письма была включена аргументация перехода на модель собственника баллонов, а также </w:t>
            </w:r>
            <w:r w:rsidR="00C06B74">
              <w:rPr>
                <w:rFonts w:ascii="LindeDaxOffice_russian" w:hAnsi="LindeDaxOffice_russian"/>
                <w:sz w:val="24"/>
                <w:szCs w:val="24"/>
              </w:rPr>
              <w:lastRenderedPageBreak/>
              <w:t>пункты закона ФНП</w:t>
            </w:r>
            <w:r w:rsidR="00A16A05">
              <w:rPr>
                <w:rFonts w:ascii="LindeDaxOffice_russian" w:hAnsi="LindeDaxOffice_russian"/>
                <w:sz w:val="24"/>
                <w:szCs w:val="24"/>
              </w:rPr>
              <w:t xml:space="preserve"> </w:t>
            </w:r>
            <w:r w:rsidR="00A16A05" w:rsidRPr="00720513">
              <w:rPr>
                <w:rFonts w:ascii="LindeDaxOffice_russian" w:hAnsi="LindeDaxOffice_russian"/>
                <w:sz w:val="24"/>
                <w:szCs w:val="24"/>
              </w:rPr>
              <w:t>ОРПД</w:t>
            </w:r>
            <w:r w:rsidR="00A16A05">
              <w:rPr>
                <w:rFonts w:ascii="LindeDaxOffice_russian" w:hAnsi="LindeDaxOffice_russian"/>
                <w:sz w:val="24"/>
                <w:szCs w:val="24"/>
              </w:rPr>
              <w:t xml:space="preserve"> №</w:t>
            </w:r>
            <w:r w:rsidR="00C06B74">
              <w:rPr>
                <w:rFonts w:ascii="LindeDaxOffice_russian" w:hAnsi="LindeDaxOffice_russian"/>
                <w:sz w:val="24"/>
                <w:szCs w:val="24"/>
              </w:rPr>
              <w:t xml:space="preserve">116, подлежащие изменениям. </w:t>
            </w:r>
          </w:p>
          <w:p w:rsidR="00C06B74" w:rsidRDefault="00C06B7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sz w:val="24"/>
                <w:szCs w:val="24"/>
              </w:rPr>
            </w:pPr>
          </w:p>
          <w:p w:rsidR="00C06B74" w:rsidRDefault="00C06B7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>
              <w:rPr>
                <w:rFonts w:ascii="LindeDaxOffice_russian" w:hAnsi="LindeDaxOffice_russian"/>
                <w:sz w:val="24"/>
                <w:szCs w:val="24"/>
              </w:rPr>
              <w:t xml:space="preserve">В настоящий момент проект письма утвержден </w:t>
            </w:r>
            <w:r w:rsidR="00C947B6">
              <w:rPr>
                <w:rFonts w:ascii="LindeDaxOffice_russian" w:hAnsi="LindeDaxOffice_russian"/>
                <w:sz w:val="24"/>
                <w:szCs w:val="24"/>
              </w:rPr>
              <w:t>членами</w:t>
            </w:r>
            <w:r>
              <w:rPr>
                <w:rFonts w:ascii="LindeDaxOffice_russian" w:hAnsi="LindeDaxOffice_russian"/>
                <w:sz w:val="24"/>
                <w:szCs w:val="24"/>
              </w:rPr>
              <w:t xml:space="preserve"> группы, предложения были представлены в </w:t>
            </w:r>
            <w:proofErr w:type="spellStart"/>
            <w:r>
              <w:rPr>
                <w:rFonts w:ascii="LindeDaxOffice_russian" w:hAnsi="LindeDaxOffice_russi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LindeDaxOffice_russian" w:hAnsi="LindeDaxOffice_russian"/>
                <w:sz w:val="24"/>
                <w:szCs w:val="24"/>
              </w:rPr>
              <w:t xml:space="preserve">, на этапе </w:t>
            </w:r>
            <w:r w:rsidRPr="00720513">
              <w:rPr>
                <w:rFonts w:ascii="LindeDaxOffice_russian" w:hAnsi="LindeDaxOffice_russian"/>
                <w:sz w:val="24"/>
                <w:szCs w:val="24"/>
              </w:rPr>
              <w:t>обсуждения</w:t>
            </w:r>
            <w:r w:rsidR="00227679" w:rsidRPr="00720513">
              <w:rPr>
                <w:rFonts w:ascii="LindeDaxOffice_russian" w:hAnsi="LindeDaxOffice_russian"/>
                <w:sz w:val="24"/>
                <w:szCs w:val="24"/>
              </w:rPr>
              <w:t xml:space="preserve"> </w:t>
            </w:r>
            <w:r w:rsidRPr="00720513">
              <w:rPr>
                <w:rFonts w:ascii="LindeDaxOffice_russian" w:hAnsi="LindeDaxOffice_russian"/>
                <w:sz w:val="24"/>
                <w:szCs w:val="24"/>
              </w:rPr>
              <w:t>ФНП</w:t>
            </w:r>
            <w:r w:rsidR="00A16A05" w:rsidRPr="00720513">
              <w:rPr>
                <w:rFonts w:ascii="LindeDaxOffice_russian" w:hAnsi="LindeDaxOffice_russian"/>
                <w:sz w:val="24"/>
                <w:szCs w:val="24"/>
              </w:rPr>
              <w:t xml:space="preserve"> ОРПД</w:t>
            </w:r>
            <w:r w:rsidRPr="00720513">
              <w:rPr>
                <w:rFonts w:ascii="LindeDaxOffice_russian" w:hAnsi="LindeDaxOffice_russian"/>
                <w:sz w:val="24"/>
                <w:szCs w:val="24"/>
              </w:rPr>
              <w:t>.</w:t>
            </w:r>
            <w:r w:rsidR="00A16A05">
              <w:rPr>
                <w:rFonts w:ascii="LindeDaxOffice_russian" w:hAnsi="LindeDaxOffice_russian"/>
                <w:sz w:val="24"/>
                <w:szCs w:val="24"/>
              </w:rPr>
              <w:t xml:space="preserve">  </w:t>
            </w:r>
          </w:p>
          <w:p w:rsidR="00A16A05" w:rsidRDefault="00A16A0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sz w:val="24"/>
                <w:szCs w:val="24"/>
              </w:rPr>
            </w:pPr>
          </w:p>
          <w:p w:rsidR="00C06B74" w:rsidRPr="00B61056" w:rsidRDefault="00C06B7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b/>
                <w:sz w:val="24"/>
                <w:szCs w:val="24"/>
              </w:rPr>
            </w:pPr>
            <w:r w:rsidRPr="00B61056">
              <w:rPr>
                <w:rFonts w:ascii="LindeDaxOffice_russian" w:hAnsi="LindeDaxOffice_russian"/>
                <w:b/>
                <w:sz w:val="24"/>
                <w:szCs w:val="24"/>
              </w:rPr>
              <w:t>Дальнейшие шаги:</w:t>
            </w:r>
          </w:p>
          <w:p w:rsidR="00C06B74" w:rsidRPr="001B058B" w:rsidRDefault="00C06B7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>
              <w:rPr>
                <w:rFonts w:ascii="LindeDaxOffice_russian" w:hAnsi="LindeDaxOffice_russian"/>
                <w:sz w:val="24"/>
                <w:szCs w:val="24"/>
              </w:rPr>
              <w:t xml:space="preserve">Каждый из </w:t>
            </w:r>
            <w:r w:rsidR="00C947B6">
              <w:rPr>
                <w:rFonts w:ascii="LindeDaxOffice_russian" w:hAnsi="LindeDaxOffice_russian"/>
                <w:sz w:val="24"/>
                <w:szCs w:val="24"/>
              </w:rPr>
              <w:t>членов</w:t>
            </w:r>
            <w:r>
              <w:rPr>
                <w:rFonts w:ascii="LindeDaxOffice_russian" w:hAnsi="LindeDaxOffice_russian"/>
                <w:sz w:val="24"/>
                <w:szCs w:val="24"/>
              </w:rPr>
              <w:t xml:space="preserve"> </w:t>
            </w:r>
            <w:r w:rsidR="00847597">
              <w:rPr>
                <w:rFonts w:ascii="LindeDaxOffice_russian" w:hAnsi="LindeDaxOffice_russian"/>
                <w:sz w:val="24"/>
                <w:szCs w:val="24"/>
              </w:rPr>
              <w:t>Г</w:t>
            </w:r>
            <w:r>
              <w:rPr>
                <w:rFonts w:ascii="LindeDaxOffice_russian" w:hAnsi="LindeDaxOffice_russian"/>
                <w:sz w:val="24"/>
                <w:szCs w:val="24"/>
              </w:rPr>
              <w:t>руппы готовит верси</w:t>
            </w:r>
            <w:r w:rsidR="008C0CDC">
              <w:rPr>
                <w:rFonts w:ascii="LindeDaxOffice_russian" w:hAnsi="LindeDaxOffice_russian"/>
                <w:sz w:val="24"/>
                <w:szCs w:val="24"/>
              </w:rPr>
              <w:t>ю</w:t>
            </w:r>
            <w:r>
              <w:rPr>
                <w:rFonts w:ascii="LindeDaxOffice_russian" w:hAnsi="LindeDaxOffice_russian"/>
                <w:sz w:val="24"/>
                <w:szCs w:val="24"/>
              </w:rPr>
              <w:t xml:space="preserve"> перехода от существующе</w:t>
            </w:r>
            <w:r w:rsidR="00847597">
              <w:rPr>
                <w:rFonts w:ascii="LindeDaxOffice_russian" w:hAnsi="LindeDaxOffice_russian"/>
                <w:sz w:val="24"/>
                <w:szCs w:val="24"/>
              </w:rPr>
              <w:t>й</w:t>
            </w:r>
            <w:r>
              <w:rPr>
                <w:rFonts w:ascii="LindeDaxOffice_russian" w:hAnsi="LindeDaxOffice_russian"/>
                <w:sz w:val="24"/>
                <w:szCs w:val="24"/>
              </w:rPr>
              <w:t xml:space="preserve"> </w:t>
            </w:r>
            <w:r w:rsidR="00847597">
              <w:rPr>
                <w:rFonts w:ascii="LindeDaxOffice_russian" w:hAnsi="LindeDaxOffice_russian"/>
                <w:sz w:val="24"/>
                <w:szCs w:val="24"/>
              </w:rPr>
              <w:t xml:space="preserve">модели </w:t>
            </w:r>
            <w:r w:rsidR="008C0CDC">
              <w:rPr>
                <w:rFonts w:ascii="LindeDaxOffice_russian" w:hAnsi="LindeDaxOffice_russian"/>
                <w:sz w:val="24"/>
                <w:szCs w:val="24"/>
              </w:rPr>
              <w:t xml:space="preserve">работы </w:t>
            </w:r>
            <w:r w:rsidR="00847597">
              <w:rPr>
                <w:rFonts w:ascii="LindeDaxOffice_russian" w:hAnsi="LindeDaxOffice_russian"/>
                <w:sz w:val="24"/>
                <w:szCs w:val="24"/>
              </w:rPr>
              <w:t>(</w:t>
            </w:r>
            <w:r w:rsidR="008C0CDC">
              <w:rPr>
                <w:rFonts w:ascii="LindeDaxOffice_russian" w:hAnsi="LindeDaxOffice_russian"/>
                <w:sz w:val="24"/>
                <w:szCs w:val="24"/>
              </w:rPr>
              <w:t>с обезличенным баллоном</w:t>
            </w:r>
            <w:r w:rsidR="00847597">
              <w:rPr>
                <w:rFonts w:ascii="LindeDaxOffice_russian" w:hAnsi="LindeDaxOffice_russian"/>
                <w:sz w:val="24"/>
                <w:szCs w:val="24"/>
              </w:rPr>
              <w:t>)</w:t>
            </w:r>
            <w:r w:rsidR="008C0CDC">
              <w:rPr>
                <w:rFonts w:ascii="LindeDaxOffice_russian" w:hAnsi="LindeDaxOffice_russian"/>
                <w:sz w:val="24"/>
                <w:szCs w:val="24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</w:rPr>
              <w:t>к модели собственника</w:t>
            </w:r>
            <w:r w:rsidR="008C0CDC">
              <w:rPr>
                <w:rFonts w:ascii="LindeDaxOffice_russian" w:hAnsi="LindeDaxOffice_russian"/>
                <w:sz w:val="24"/>
                <w:szCs w:val="24"/>
              </w:rPr>
              <w:t xml:space="preserve"> баллона</w:t>
            </w:r>
            <w:r>
              <w:rPr>
                <w:rFonts w:ascii="LindeDaxOffice_russian" w:hAnsi="LindeDaxOffice_russian"/>
                <w:sz w:val="24"/>
                <w:szCs w:val="24"/>
              </w:rPr>
              <w:t>, после чего будет выработана единая позиция АПМГ.</w:t>
            </w:r>
          </w:p>
          <w:p w:rsidR="00561987" w:rsidRPr="001B058B" w:rsidRDefault="00561987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sz w:val="24"/>
                <w:szCs w:val="24"/>
              </w:rPr>
            </w:pPr>
          </w:p>
          <w:p w:rsidR="00627186" w:rsidRPr="001B058B" w:rsidRDefault="00627186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1B058B">
              <w:rPr>
                <w:rFonts w:ascii="LindeDaxOffice_russian" w:hAnsi="LindeDaxOffice_russian"/>
                <w:sz w:val="24"/>
                <w:szCs w:val="24"/>
              </w:rPr>
              <w:t>Организовать встречу с представителями РТН, на которой следует продемонстрировать единую позицию от АПМГ по вопросу собственности на баллон.</w:t>
            </w:r>
          </w:p>
          <w:p w:rsidR="00627186" w:rsidRPr="001B058B" w:rsidRDefault="00627186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1B058B">
              <w:rPr>
                <w:rFonts w:ascii="LindeDaxOffice_russian" w:hAnsi="LindeDaxOffice_russian"/>
                <w:sz w:val="24"/>
                <w:szCs w:val="24"/>
              </w:rPr>
              <w:t>Единую позицию АПМГ направить в адрес РТН.</w:t>
            </w:r>
          </w:p>
          <w:p w:rsidR="00C06B74" w:rsidRDefault="00C06B7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sz w:val="24"/>
                <w:szCs w:val="24"/>
              </w:rPr>
            </w:pPr>
          </w:p>
          <w:p w:rsidR="003F3DBF" w:rsidRDefault="008C0CDC" w:rsidP="00837093">
            <w:pPr>
              <w:pStyle w:val="a4"/>
              <w:numPr>
                <w:ilvl w:val="0"/>
                <w:numId w:val="20"/>
              </w:numPr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C43411">
              <w:rPr>
                <w:rFonts w:ascii="LindeDaxOffice_russian" w:hAnsi="LindeDaxOffice_russian" w:cs="Arial"/>
                <w:sz w:val="24"/>
                <w:szCs w:val="24"/>
                <w:u w:val="single"/>
              </w:rPr>
              <w:t>Типовой баллон 50 литров</w:t>
            </w:r>
            <w:r w:rsidR="00227679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,</w:t>
            </w:r>
            <w:r w:rsidRPr="00C43411">
              <w:rPr>
                <w:rFonts w:ascii="LindeDaxOffice_russian" w:hAnsi="LindeDaxOffice_russian" w:cs="Arial"/>
                <w:sz w:val="24"/>
                <w:szCs w:val="24"/>
                <w:u w:val="single"/>
              </w:rPr>
              <w:t xml:space="preserve"> 200 бар</w:t>
            </w:r>
            <w:r w:rsidR="003F3DBF" w:rsidRPr="003F3DBF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</w:p>
          <w:p w:rsidR="008C0CDC" w:rsidRDefault="008C0CDC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8C0CDC" w:rsidRPr="00720513" w:rsidRDefault="008C0CDC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>В ходе обсуждения опыта работы с баллонами</w:t>
            </w:r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>,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произведенными по ГОСТ-949, было отмечено, что данные баллоны морально устарели и значительно проигрывают по своим техническим и эксплуатационным характеристикам баллонам</w:t>
            </w:r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>,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выпущенным по </w:t>
            </w:r>
            <w:r w:rsidR="0033206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ISO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-9809. </w:t>
            </w:r>
          </w:p>
          <w:p w:rsidR="00DC2CAD" w:rsidRPr="00720513" w:rsidRDefault="00DC2CAD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8C0CDC" w:rsidRDefault="008C0CDC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>С целью создания на территории Российской Федерации современного и  безопасного баллона, было высказано предложение</w:t>
            </w:r>
            <w:r w:rsidR="00372396">
              <w:rPr>
                <w:rFonts w:ascii="LindeDaxOffice_russian" w:hAnsi="LindeDaxOffice_russian" w:cs="Arial"/>
                <w:sz w:val="24"/>
                <w:szCs w:val="24"/>
              </w:rPr>
              <w:t>,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>собрать все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требования </w:t>
            </w:r>
            <w:r w:rsidR="00C947B6">
              <w:rPr>
                <w:rFonts w:ascii="LindeDaxOffice_russian" w:hAnsi="LindeDaxOffice_russian" w:cs="Arial"/>
                <w:sz w:val="24"/>
                <w:szCs w:val="24"/>
              </w:rPr>
              <w:t>членов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к баллону, который бы удовлетворял потребностям производителей газовой продукции, был безопасным</w:t>
            </w:r>
            <w:r w:rsidR="00847597">
              <w:rPr>
                <w:rFonts w:ascii="LindeDaxOffice_russian" w:hAnsi="LindeDaxOffice_russian" w:cs="Arial"/>
                <w:sz w:val="24"/>
                <w:szCs w:val="24"/>
              </w:rPr>
              <w:t>,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и </w:t>
            </w:r>
            <w:r w:rsidR="00847597">
              <w:rPr>
                <w:rFonts w:ascii="LindeDaxOffice_russian" w:hAnsi="LindeDaxOffice_russian" w:cs="Arial"/>
                <w:sz w:val="24"/>
                <w:szCs w:val="24"/>
              </w:rPr>
              <w:t xml:space="preserve">при этом 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использование такого баллона было </w:t>
            </w:r>
            <w:r w:rsidR="00222B2C">
              <w:rPr>
                <w:rFonts w:ascii="LindeDaxOffice_russian" w:hAnsi="LindeDaxOffice_russian" w:cs="Arial"/>
                <w:sz w:val="24"/>
                <w:szCs w:val="24"/>
              </w:rPr>
              <w:t xml:space="preserve">бы 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lastRenderedPageBreak/>
              <w:t xml:space="preserve">экономически выгодным. </w:t>
            </w:r>
          </w:p>
          <w:p w:rsidR="00222B2C" w:rsidRDefault="00222B2C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0B39CE" w:rsidRDefault="008C0CDC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В итоге было </w:t>
            </w:r>
            <w:r w:rsidR="00847597">
              <w:rPr>
                <w:rFonts w:ascii="LindeDaxOffice_russian" w:hAnsi="LindeDaxOffice_russian" w:cs="Arial"/>
                <w:sz w:val="24"/>
                <w:szCs w:val="24"/>
              </w:rPr>
              <w:t xml:space="preserve">подготовлено 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письмо от </w:t>
            </w:r>
            <w:r w:rsidR="00847597">
              <w:rPr>
                <w:rFonts w:ascii="LindeDaxOffice_russian" w:hAnsi="LindeDaxOffice_russian" w:cs="Arial"/>
                <w:sz w:val="24"/>
                <w:szCs w:val="24"/>
              </w:rPr>
              <w:t xml:space="preserve">имени 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АПМГ </w:t>
            </w:r>
            <w:r w:rsidR="00847597">
              <w:rPr>
                <w:rFonts w:ascii="LindeDaxOffice_russian" w:hAnsi="LindeDaxOffice_russian" w:cs="Arial"/>
                <w:sz w:val="24"/>
                <w:szCs w:val="24"/>
              </w:rPr>
              <w:t>(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№</w:t>
            </w:r>
            <w:r w:rsidR="000B39CE">
              <w:rPr>
                <w:rFonts w:ascii="LindeDaxOffice_russian" w:hAnsi="LindeDaxOffice_russian" w:cs="Arial"/>
                <w:sz w:val="24"/>
                <w:szCs w:val="24"/>
              </w:rPr>
              <w:t>4 от 07.12.2015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г</w:t>
            </w:r>
            <w:r w:rsidR="000B39CE">
              <w:rPr>
                <w:rFonts w:ascii="LindeDaxOffice_russian" w:hAnsi="LindeDaxOffice_russian" w:cs="Arial"/>
                <w:sz w:val="24"/>
                <w:szCs w:val="24"/>
              </w:rPr>
              <w:t>.</w:t>
            </w:r>
            <w:r w:rsidR="00847597">
              <w:rPr>
                <w:rFonts w:ascii="LindeDaxOffice_russian" w:hAnsi="LindeDaxOffice_russian" w:cs="Arial"/>
                <w:sz w:val="24"/>
                <w:szCs w:val="24"/>
              </w:rPr>
              <w:t>)</w:t>
            </w:r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>,</w:t>
            </w:r>
            <w:r w:rsidR="000B39CE">
              <w:rPr>
                <w:rFonts w:ascii="LindeDaxOffice_russian" w:hAnsi="LindeDaxOffice_russian" w:cs="Arial"/>
                <w:sz w:val="24"/>
                <w:szCs w:val="24"/>
              </w:rPr>
              <w:t xml:space="preserve"> адресованно</w:t>
            </w:r>
            <w:r w:rsidR="00847597">
              <w:rPr>
                <w:rFonts w:ascii="LindeDaxOffice_russian" w:hAnsi="LindeDaxOffice_russian" w:cs="Arial"/>
                <w:sz w:val="24"/>
                <w:szCs w:val="24"/>
              </w:rPr>
              <w:t>е</w:t>
            </w:r>
            <w:r w:rsidR="000B39CE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>ОАО «ПНТЗ» и АО «</w:t>
            </w:r>
            <w:proofErr w:type="spellStart"/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>Орский</w:t>
            </w:r>
            <w:proofErr w:type="spellEnd"/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 xml:space="preserve"> машиностроительный завод» </w:t>
            </w:r>
            <w:r w:rsidR="00847597">
              <w:rPr>
                <w:rFonts w:ascii="LindeDaxOffice_russian" w:hAnsi="LindeDaxOffice_russian" w:cs="Arial"/>
                <w:sz w:val="24"/>
                <w:szCs w:val="24"/>
              </w:rPr>
              <w:t>(</w:t>
            </w:r>
            <w:r w:rsidR="000B39CE">
              <w:rPr>
                <w:rFonts w:ascii="LindeDaxOffice_russian" w:hAnsi="LindeDaxOffice_russian" w:cs="Arial"/>
                <w:sz w:val="24"/>
                <w:szCs w:val="24"/>
              </w:rPr>
              <w:t>основным производителям баллонов в России</w:t>
            </w:r>
            <w:r w:rsidR="00847597">
              <w:rPr>
                <w:rFonts w:ascii="LindeDaxOffice_russian" w:hAnsi="LindeDaxOffice_russian" w:cs="Arial"/>
                <w:sz w:val="24"/>
                <w:szCs w:val="24"/>
              </w:rPr>
              <w:t>)</w:t>
            </w:r>
            <w:r w:rsidR="000B39CE">
              <w:rPr>
                <w:rFonts w:ascii="LindeDaxOffice_russian" w:hAnsi="LindeDaxOffice_russian" w:cs="Arial"/>
                <w:sz w:val="24"/>
                <w:szCs w:val="24"/>
              </w:rPr>
              <w:t>, в тексте которого было сформулированы требования к универсальному баллону рабочим объемом 50 литров и рабочим давлением 200 бар.</w:t>
            </w:r>
          </w:p>
          <w:p w:rsidR="000B39CE" w:rsidRDefault="000B39C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3F3DBF" w:rsidRDefault="000B39C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В результате </w:t>
            </w:r>
            <w:r w:rsidR="00847597">
              <w:rPr>
                <w:rFonts w:ascii="LindeDaxOffice_russian" w:hAnsi="LindeDaxOffice_russian" w:cs="Arial"/>
                <w:sz w:val="24"/>
                <w:szCs w:val="24"/>
              </w:rPr>
              <w:t xml:space="preserve">был 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получ</w:t>
            </w:r>
            <w:r w:rsidR="00847597">
              <w:rPr>
                <w:rFonts w:ascii="LindeDaxOffice_russian" w:hAnsi="LindeDaxOffice_russian" w:cs="Arial"/>
                <w:sz w:val="24"/>
                <w:szCs w:val="24"/>
              </w:rPr>
              <w:t>ен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официальный ответ от АО «ОМЗ» </w:t>
            </w:r>
            <w:r w:rsidR="00847597">
              <w:rPr>
                <w:rFonts w:ascii="LindeDaxOffice_russian" w:hAnsi="LindeDaxOffice_russian" w:cs="Arial"/>
                <w:sz w:val="24"/>
                <w:szCs w:val="24"/>
              </w:rPr>
              <w:t>(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№53/160ГБ от 26.02.2016 г.</w:t>
            </w:r>
            <w:r w:rsidR="00847597">
              <w:rPr>
                <w:rFonts w:ascii="LindeDaxOffice_russian" w:hAnsi="LindeDaxOffice_russian" w:cs="Arial"/>
                <w:sz w:val="24"/>
                <w:szCs w:val="24"/>
              </w:rPr>
              <w:t>),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="00DA174D">
              <w:rPr>
                <w:rFonts w:ascii="LindeDaxOffice_russian" w:hAnsi="LindeDaxOffice_russian" w:cs="Arial"/>
                <w:sz w:val="24"/>
                <w:szCs w:val="24"/>
              </w:rPr>
              <w:t>в котором подтверждается возможность изготовить близкий к запрашиваемым характеристикам баллон 50 литров</w:t>
            </w:r>
            <w:r w:rsidR="00227679" w:rsidRPr="00227679">
              <w:rPr>
                <w:rFonts w:ascii="LindeDaxOffice_russian" w:hAnsi="LindeDaxOffice_russian" w:cs="Arial"/>
                <w:sz w:val="24"/>
                <w:szCs w:val="24"/>
              </w:rPr>
              <w:t>,</w:t>
            </w:r>
            <w:r w:rsidR="00DA174D">
              <w:rPr>
                <w:rFonts w:ascii="LindeDaxOffice_russian" w:hAnsi="LindeDaxOffice_russian" w:cs="Arial"/>
                <w:sz w:val="24"/>
                <w:szCs w:val="24"/>
              </w:rPr>
              <w:t xml:space="preserve"> 200 бар</w:t>
            </w:r>
            <w:proofErr w:type="gramStart"/>
            <w:r w:rsidR="00DA174D">
              <w:rPr>
                <w:rFonts w:ascii="LindeDaxOffice_russian" w:hAnsi="LindeDaxOffice_russian" w:cs="Arial"/>
                <w:sz w:val="24"/>
                <w:szCs w:val="24"/>
              </w:rPr>
              <w:t>.</w:t>
            </w:r>
            <w:proofErr w:type="gramEnd"/>
            <w:r w:rsidR="00DA174D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proofErr w:type="gramStart"/>
            <w:r w:rsidR="00DA174D">
              <w:rPr>
                <w:rFonts w:ascii="LindeDaxOffice_russian" w:hAnsi="LindeDaxOffice_russian" w:cs="Arial"/>
                <w:sz w:val="24"/>
                <w:szCs w:val="24"/>
              </w:rPr>
              <w:t>с</w:t>
            </w:r>
            <w:proofErr w:type="gramEnd"/>
            <w:r w:rsidR="00DA174D">
              <w:rPr>
                <w:rFonts w:ascii="LindeDaxOffice_russian" w:hAnsi="LindeDaxOffice_russian" w:cs="Arial"/>
                <w:sz w:val="24"/>
                <w:szCs w:val="24"/>
              </w:rPr>
              <w:t xml:space="preserve"> возможностью дальнейшей сертификации по стандарту </w:t>
            </w:r>
            <w:r w:rsidR="00DA174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ISO</w:t>
            </w:r>
            <w:r w:rsidR="00DA174D">
              <w:rPr>
                <w:rFonts w:ascii="LindeDaxOffice_russian" w:hAnsi="LindeDaxOffice_russian" w:cs="Arial"/>
                <w:sz w:val="24"/>
                <w:szCs w:val="24"/>
              </w:rPr>
              <w:t xml:space="preserve"> 9809-1.</w:t>
            </w:r>
          </w:p>
          <w:p w:rsidR="00A24BBB" w:rsidRDefault="00A24BBB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DA174D" w:rsidRDefault="00DA174D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proofErr w:type="gramStart"/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От ОАО «ПНТЗ» официального ответа на письмо АПМГ не поступало, но </w:t>
            </w:r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 xml:space="preserve">на Международной конференции </w:t>
            </w:r>
            <w:r w:rsidR="00A16A05" w:rsidRPr="00DA174D">
              <w:rPr>
                <w:rFonts w:ascii="LindeDaxOffice_russian" w:hAnsi="LindeDaxOffice_russian" w:cs="Arial"/>
                <w:sz w:val="24"/>
                <w:szCs w:val="24"/>
              </w:rPr>
              <w:t>«Газовые баллоны и вентили 2016»</w:t>
            </w:r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 xml:space="preserve"> от </w:t>
            </w:r>
            <w:r w:rsidR="00A16A05" w:rsidRPr="00DA174D">
              <w:rPr>
                <w:rFonts w:ascii="LindeDaxOffice_russian" w:hAnsi="LindeDaxOffice_russian" w:cs="Arial"/>
                <w:sz w:val="24"/>
                <w:szCs w:val="24"/>
              </w:rPr>
              <w:t xml:space="preserve">2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A16A05" w:rsidRPr="00DA174D">
                <w:rPr>
                  <w:rFonts w:ascii="LindeDaxOffice_russian" w:hAnsi="LindeDaxOffice_russian" w:cs="Arial"/>
                  <w:sz w:val="24"/>
                  <w:szCs w:val="24"/>
                </w:rPr>
                <w:t>2016 г</w:t>
              </w:r>
            </w:smartTag>
            <w:r w:rsidR="00A16A05" w:rsidRPr="00DA174D">
              <w:rPr>
                <w:rFonts w:ascii="LindeDaxOffice_russian" w:hAnsi="LindeDaxOffice_russian" w:cs="Arial"/>
                <w:sz w:val="24"/>
                <w:szCs w:val="24"/>
              </w:rPr>
              <w:t>.</w:t>
            </w:r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 xml:space="preserve">, 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в ходе выступления</w:t>
            </w:r>
            <w:r w:rsidR="00320CC9" w:rsidRPr="00320CC9">
              <w:rPr>
                <w:rFonts w:ascii="LindeDaxOffice_russian" w:hAnsi="LindeDaxOffice_russian" w:cs="Arial"/>
                <w:sz w:val="24"/>
                <w:szCs w:val="24"/>
              </w:rPr>
              <w:t xml:space="preserve"> начальника цеха по производству баллонов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ОАО «ПНТЗ»,  </w:t>
            </w:r>
            <w:proofErr w:type="spellStart"/>
            <w:r w:rsidR="00320CC9" w:rsidRPr="00320CC9">
              <w:rPr>
                <w:rFonts w:ascii="LindeDaxOffice_russian" w:hAnsi="LindeDaxOffice_russian" w:cs="Arial"/>
                <w:sz w:val="24"/>
                <w:szCs w:val="24"/>
              </w:rPr>
              <w:t>Шлевис</w:t>
            </w:r>
            <w:proofErr w:type="spellEnd"/>
            <w:r w:rsidR="00320CC9">
              <w:rPr>
                <w:rFonts w:ascii="LindeDaxOffice_russian" w:hAnsi="LindeDaxOffice_russian" w:cs="Arial"/>
                <w:sz w:val="24"/>
                <w:szCs w:val="24"/>
              </w:rPr>
              <w:t xml:space="preserve"> С. было замечено, что готовность производства перейти на новый тип баллона </w:t>
            </w:r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 xml:space="preserve">зависит от </w:t>
            </w:r>
            <w:r w:rsidR="00320CC9">
              <w:rPr>
                <w:rFonts w:ascii="LindeDaxOffice_russian" w:hAnsi="LindeDaxOffice_russian" w:cs="Arial"/>
                <w:sz w:val="24"/>
                <w:szCs w:val="24"/>
              </w:rPr>
              <w:t>гарантированно</w:t>
            </w:r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 xml:space="preserve">го и существенного </w:t>
            </w:r>
            <w:r w:rsidR="00320CC9">
              <w:rPr>
                <w:rFonts w:ascii="LindeDaxOffice_russian" w:hAnsi="LindeDaxOffice_russian" w:cs="Arial"/>
                <w:sz w:val="24"/>
                <w:szCs w:val="24"/>
              </w:rPr>
              <w:t>спрос</w:t>
            </w:r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>а</w:t>
            </w:r>
            <w:r w:rsidR="00320CC9">
              <w:rPr>
                <w:rFonts w:ascii="LindeDaxOffice_russian" w:hAnsi="LindeDaxOffice_russian" w:cs="Arial"/>
                <w:sz w:val="24"/>
                <w:szCs w:val="24"/>
              </w:rPr>
              <w:t xml:space="preserve"> на данный баллон.</w:t>
            </w:r>
            <w:proofErr w:type="gramEnd"/>
          </w:p>
          <w:p w:rsidR="00320CC9" w:rsidRPr="00720513" w:rsidRDefault="00320CC9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320CC9" w:rsidRDefault="00320CC9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B61056">
              <w:rPr>
                <w:rFonts w:ascii="LindeDaxOffice_russian" w:hAnsi="LindeDaxOffice_russian"/>
                <w:b/>
                <w:sz w:val="24"/>
                <w:szCs w:val="24"/>
              </w:rPr>
              <w:t>Дальнейшие шаги</w:t>
            </w:r>
            <w:r>
              <w:rPr>
                <w:rFonts w:ascii="LindeDaxOffice_russian" w:hAnsi="LindeDaxOffice_russian"/>
                <w:sz w:val="24"/>
                <w:szCs w:val="24"/>
              </w:rPr>
              <w:t>:</w:t>
            </w:r>
          </w:p>
          <w:p w:rsidR="00320CC9" w:rsidRDefault="00320CC9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Продолжить тесные контакты </w:t>
            </w:r>
            <w:r w:rsidR="00332068">
              <w:rPr>
                <w:rFonts w:ascii="LindeDaxOffice_russian" w:hAnsi="LindeDaxOffice_russian" w:cs="Arial"/>
                <w:sz w:val="24"/>
                <w:szCs w:val="24"/>
              </w:rPr>
              <w:t xml:space="preserve">Группы 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с АО «ОМЗ» для того чтобы предприятие смогло доработать и сертифицировать современный отечественный баллон 50 литров, 200 бар. </w:t>
            </w:r>
          </w:p>
          <w:p w:rsidR="00F53D6F" w:rsidRPr="00C947B6" w:rsidRDefault="00F53D6F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627186" w:rsidRPr="001B058B" w:rsidRDefault="00627186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1B058B">
              <w:rPr>
                <w:rFonts w:ascii="LindeDaxOffice_russian" w:hAnsi="LindeDaxOffice_russian" w:cs="Arial"/>
                <w:sz w:val="24"/>
                <w:szCs w:val="24"/>
              </w:rPr>
              <w:t>Написать повторное письмо в ОАО «ПНТЗ», на имя генерального директора, с просьбой предоставить ответ на письмо АПМГ №4 от 07.12.2015 г.</w:t>
            </w:r>
          </w:p>
          <w:p w:rsidR="00DA174D" w:rsidRPr="00720513" w:rsidRDefault="00DA174D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3F3DBF" w:rsidRPr="00B635E4" w:rsidRDefault="00B635E4" w:rsidP="00837093">
            <w:pPr>
              <w:pStyle w:val="a4"/>
              <w:numPr>
                <w:ilvl w:val="0"/>
                <w:numId w:val="20"/>
              </w:numPr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B635E4">
              <w:rPr>
                <w:rFonts w:ascii="LindeDaxOffice_russian" w:hAnsi="LindeDaxOffice_russian"/>
                <w:sz w:val="24"/>
                <w:szCs w:val="24"/>
                <w:u w:val="single"/>
              </w:rPr>
              <w:t>Вопросы разработки новых стандартов</w:t>
            </w:r>
          </w:p>
          <w:p w:rsidR="00B635E4" w:rsidRDefault="00B635E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sz w:val="24"/>
                <w:szCs w:val="24"/>
                <w:u w:val="single"/>
                <w:lang w:val="en-US"/>
              </w:rPr>
            </w:pPr>
          </w:p>
          <w:p w:rsidR="00B61056" w:rsidRPr="008A2F85" w:rsidRDefault="00F34B78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proofErr w:type="gramStart"/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Одним из основных вопросов в 2015 г. был вопрос по </w:t>
            </w:r>
            <w:r w:rsidR="00726F6C">
              <w:rPr>
                <w:rFonts w:ascii="LindeDaxOffice_russian" w:hAnsi="LindeDaxOffice_russian" w:cs="Arial"/>
                <w:sz w:val="24"/>
                <w:szCs w:val="24"/>
              </w:rPr>
              <w:t>«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сроку </w:t>
            </w:r>
            <w:r w:rsidR="00B61056">
              <w:rPr>
                <w:rFonts w:ascii="LindeDaxOffice_russian" w:hAnsi="LindeDaxOffice_russian" w:cs="Arial"/>
                <w:sz w:val="24"/>
                <w:szCs w:val="24"/>
              </w:rPr>
              <w:t>жизни</w:t>
            </w:r>
            <w:r w:rsidR="00726F6C">
              <w:rPr>
                <w:rFonts w:ascii="LindeDaxOffice_russian" w:hAnsi="LindeDaxOffice_russian" w:cs="Arial"/>
                <w:sz w:val="24"/>
                <w:szCs w:val="24"/>
              </w:rPr>
              <w:t>»</w:t>
            </w:r>
            <w:r w:rsidR="00B61056">
              <w:rPr>
                <w:rFonts w:ascii="LindeDaxOffice_russian" w:hAnsi="LindeDaxOffice_russian" w:cs="Arial"/>
                <w:sz w:val="24"/>
                <w:szCs w:val="24"/>
              </w:rPr>
              <w:t xml:space="preserve"> баллонов, который в новых ФНП-116 определен в 20 лет (если  иной срок  не определен производителем баллонов).</w:t>
            </w:r>
            <w:proofErr w:type="gramEnd"/>
          </w:p>
          <w:p w:rsidR="00D84FC4" w:rsidRPr="008A2F85" w:rsidRDefault="00D84FC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1B3AE3" w:rsidRPr="00720513" w:rsidRDefault="00B61056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>В результате многочисленных обращений в РТН, а также после встреч с представителями ОАО «</w:t>
            </w:r>
            <w:proofErr w:type="spellStart"/>
            <w:r>
              <w:rPr>
                <w:rFonts w:ascii="LindeDaxOffice_russian" w:hAnsi="LindeDaxOffice_russian" w:cs="Arial"/>
                <w:sz w:val="24"/>
                <w:szCs w:val="24"/>
              </w:rPr>
              <w:t>Рос</w:t>
            </w:r>
            <w:r w:rsidRPr="00B61056">
              <w:rPr>
                <w:rFonts w:ascii="LindeDaxOffice_russian" w:hAnsi="LindeDaxOffice_russian" w:cs="Arial"/>
                <w:sz w:val="24"/>
                <w:szCs w:val="24"/>
              </w:rPr>
              <w:t>НИТИ</w:t>
            </w:r>
            <w:proofErr w:type="spellEnd"/>
            <w:r>
              <w:rPr>
                <w:rFonts w:ascii="LindeDaxOffice_russian" w:hAnsi="LindeDaxOffice_russian" w:cs="Arial"/>
                <w:sz w:val="24"/>
                <w:szCs w:val="24"/>
              </w:rPr>
              <w:t>»</w:t>
            </w:r>
            <w:r w:rsidR="001B3AE3">
              <w:rPr>
                <w:rFonts w:ascii="LindeDaxOffice_russian" w:hAnsi="LindeDaxOffice_russian" w:cs="Arial"/>
                <w:sz w:val="24"/>
                <w:szCs w:val="24"/>
              </w:rPr>
              <w:t xml:space="preserve"> в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ndeDaxOffice_russian" w:hAnsi="LindeDaxOffice_russian" w:cs="Arial"/>
                <w:sz w:val="24"/>
                <w:szCs w:val="24"/>
              </w:rPr>
              <w:t>г</w:t>
            </w:r>
            <w:proofErr w:type="gramEnd"/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. Челябинск удалось выработать единую позицию </w:t>
            </w:r>
            <w:r w:rsidRPr="00B61056">
              <w:rPr>
                <w:rFonts w:ascii="LindeDaxOffice_russian" w:hAnsi="LindeDaxOffice_russian" w:cs="Arial"/>
                <w:sz w:val="24"/>
                <w:szCs w:val="24"/>
              </w:rPr>
              <w:t>по вопросам службы баллонов</w:t>
            </w:r>
            <w:r w:rsidR="00726F6C">
              <w:rPr>
                <w:rFonts w:ascii="LindeDaxOffice_russian" w:hAnsi="LindeDaxOffice_russian" w:cs="Arial"/>
                <w:sz w:val="24"/>
                <w:szCs w:val="24"/>
              </w:rPr>
              <w:t>,</w:t>
            </w:r>
            <w:r w:rsidRPr="00B61056">
              <w:rPr>
                <w:rFonts w:ascii="LindeDaxOffice_russian" w:hAnsi="LindeDaxOffice_russian" w:cs="Arial"/>
                <w:sz w:val="24"/>
                <w:szCs w:val="24"/>
              </w:rPr>
              <w:t xml:space="preserve"> выпущенных по ГОСТ 949-73</w:t>
            </w:r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 xml:space="preserve"> , а именно:</w:t>
            </w:r>
          </w:p>
          <w:p w:rsidR="0002159B" w:rsidRPr="00720513" w:rsidRDefault="0002159B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A16A05" w:rsidRDefault="00B61056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proofErr w:type="gramStart"/>
            <w:r w:rsidRPr="00B61056">
              <w:rPr>
                <w:rFonts w:ascii="LindeDaxOffice_russian" w:hAnsi="LindeDaxOffice_russian" w:cs="Arial"/>
                <w:sz w:val="24"/>
                <w:szCs w:val="24"/>
              </w:rPr>
              <w:t>На основании представленных писем ОАО "</w:t>
            </w:r>
            <w:proofErr w:type="spellStart"/>
            <w:r w:rsidRPr="00B61056">
              <w:rPr>
                <w:rFonts w:ascii="LindeDaxOffice_russian" w:hAnsi="LindeDaxOffice_russian" w:cs="Arial"/>
                <w:sz w:val="24"/>
                <w:szCs w:val="24"/>
              </w:rPr>
              <w:t>Ро</w:t>
            </w:r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>сНИТИ</w:t>
            </w:r>
            <w:proofErr w:type="spellEnd"/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>" №23/451 от 10.02.2015 г.</w:t>
            </w:r>
            <w:r w:rsidRPr="00B61056">
              <w:rPr>
                <w:rFonts w:ascii="LindeDaxOffice_russian" w:hAnsi="LindeDaxOffice_russian" w:cs="Arial"/>
                <w:sz w:val="24"/>
                <w:szCs w:val="24"/>
              </w:rPr>
              <w:t>, Федеральная служба по экологическому, технологическому и атомному надзору (РОСТЕХНАДЗОР) №09-03-05/1221 от 11.03.2015 г. и ОАО "</w:t>
            </w:r>
            <w:proofErr w:type="spellStart"/>
            <w:r w:rsidRPr="00B61056">
              <w:rPr>
                <w:rFonts w:ascii="LindeDaxOffice_russian" w:hAnsi="LindeDaxOffice_russian" w:cs="Arial"/>
                <w:sz w:val="24"/>
                <w:szCs w:val="24"/>
              </w:rPr>
              <w:t>РосНИТИ</w:t>
            </w:r>
            <w:proofErr w:type="spellEnd"/>
            <w:r w:rsidRPr="00B61056">
              <w:rPr>
                <w:rFonts w:ascii="LindeDaxOffice_russian" w:hAnsi="LindeDaxOffice_russian" w:cs="Arial"/>
                <w:sz w:val="24"/>
                <w:szCs w:val="24"/>
              </w:rPr>
              <w:t>"</w:t>
            </w:r>
            <w:r w:rsidR="005E5663" w:rsidRPr="005E5663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Pr="00B61056">
              <w:rPr>
                <w:rFonts w:ascii="LindeDaxOffice_russian" w:hAnsi="LindeDaxOffice_russian" w:cs="Arial"/>
                <w:sz w:val="24"/>
                <w:szCs w:val="24"/>
              </w:rPr>
              <w:t>№23/1388 от 15.04.2015 г., срок службы баллонов (предназначенных к наполнению газами, вызывающими разрушение и физико-химическое превращение материала со скоростью не более 0,1 мм/год), выпущенных по ГОСТ 949-73</w:t>
            </w:r>
            <w:r w:rsidR="00726F6C">
              <w:rPr>
                <w:rFonts w:ascii="LindeDaxOffice_russian" w:hAnsi="LindeDaxOffice_russian" w:cs="Arial"/>
                <w:sz w:val="24"/>
                <w:szCs w:val="24"/>
              </w:rPr>
              <w:t>,</w:t>
            </w:r>
            <w:r w:rsidRPr="00B61056">
              <w:rPr>
                <w:rFonts w:ascii="LindeDaxOffice_russian" w:hAnsi="LindeDaxOffice_russian" w:cs="Arial"/>
                <w:sz w:val="24"/>
                <w:szCs w:val="24"/>
              </w:rPr>
              <w:t xml:space="preserve"> можно принять как</w:t>
            </w:r>
            <w:proofErr w:type="gramEnd"/>
            <w:r w:rsidRPr="00B61056">
              <w:rPr>
                <w:rFonts w:ascii="LindeDaxOffice_russian" w:hAnsi="LindeDaxOffice_russian" w:cs="Arial"/>
                <w:sz w:val="24"/>
                <w:szCs w:val="24"/>
              </w:rPr>
              <w:t xml:space="preserve"> 40 лет.</w:t>
            </w:r>
          </w:p>
          <w:p w:rsidR="008A2F85" w:rsidRPr="00720513" w:rsidRDefault="00B61056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B61056">
              <w:rPr>
                <w:rFonts w:ascii="LindeDaxOffice_russian" w:hAnsi="LindeDaxOffice_russian" w:cs="Arial"/>
                <w:sz w:val="24"/>
                <w:szCs w:val="24"/>
              </w:rPr>
              <w:t> </w:t>
            </w:r>
          </w:p>
          <w:p w:rsidR="00A16A05" w:rsidRDefault="0059549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proofErr w:type="gramStart"/>
            <w:r w:rsidRPr="00595495">
              <w:rPr>
                <w:rFonts w:ascii="LindeDaxOffice_russian" w:hAnsi="LindeDaxOffice_russian" w:cs="Arial"/>
                <w:sz w:val="24"/>
                <w:szCs w:val="24"/>
              </w:rPr>
              <w:t xml:space="preserve">26.01.2016 состоялось заседание секции № 4 «Вопросы совершенствования котлонадзора, надзора за подъёмными сооружениями и государственного строительного надзора» Научно-технического совета </w:t>
            </w:r>
            <w:proofErr w:type="spellStart"/>
            <w:r w:rsidRPr="00595495">
              <w:rPr>
                <w:rFonts w:ascii="LindeDaxOffice_russian" w:hAnsi="LindeDaxOffice_russian" w:cs="Arial"/>
                <w:sz w:val="24"/>
                <w:szCs w:val="24"/>
              </w:rPr>
              <w:t>Ростехнадзора</w:t>
            </w:r>
            <w:proofErr w:type="spellEnd"/>
            <w:r w:rsidRPr="00595495">
              <w:rPr>
                <w:rFonts w:ascii="LindeDaxOffice_russian" w:hAnsi="LindeDaxOffice_russian" w:cs="Arial"/>
                <w:sz w:val="24"/>
                <w:szCs w:val="24"/>
              </w:rPr>
              <w:t xml:space="preserve">, на котором 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были </w:t>
            </w:r>
            <w:r w:rsidRPr="00595495">
              <w:rPr>
                <w:rFonts w:ascii="LindeDaxOffice_russian" w:hAnsi="LindeDaxOffice_russian" w:cs="Arial"/>
                <w:sz w:val="24"/>
                <w:szCs w:val="24"/>
              </w:rPr>
              <w:t xml:space="preserve">рассмотрены предложения по внесению изменений в 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</w:t>
            </w:r>
            <w:r w:rsidRPr="00595495">
              <w:rPr>
                <w:rFonts w:ascii="LindeDaxOffice_russian" w:hAnsi="LindeDaxOffice_russian" w:cs="Arial"/>
                <w:sz w:val="24"/>
                <w:szCs w:val="24"/>
              </w:rPr>
              <w:lastRenderedPageBreak/>
              <w:t>работающее под избыточным давлением» (далее – ФНП ОРПД). </w:t>
            </w:r>
            <w:proofErr w:type="gramEnd"/>
          </w:p>
          <w:p w:rsidR="00595495" w:rsidRDefault="0059549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595495">
              <w:rPr>
                <w:rFonts w:ascii="LindeDaxOffice_russian" w:hAnsi="LindeDaxOffice_russian" w:cs="Arial"/>
                <w:sz w:val="24"/>
                <w:szCs w:val="24"/>
              </w:rPr>
              <w:br/>
              <w:t>В работе секции № 4 приняли участие представители крупнейших тепло-электроэнергетических компаний, научно-исследовательских, экспертных и иных организаций,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а также представители рабочей группы «</w:t>
            </w:r>
            <w:r w:rsidR="00BC1EAA">
              <w:rPr>
                <w:rFonts w:ascii="LindeDaxOffice_russian" w:hAnsi="LindeDaxOffice_russian" w:cs="Arial"/>
                <w:sz w:val="24"/>
                <w:szCs w:val="24"/>
              </w:rPr>
              <w:t>Газовые б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аллоны» АПМГ. </w:t>
            </w:r>
          </w:p>
          <w:p w:rsidR="00595495" w:rsidRDefault="0059549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595495">
              <w:rPr>
                <w:rFonts w:ascii="LindeDaxOffice_russian" w:hAnsi="LindeDaxOffice_russian" w:cs="Arial"/>
                <w:sz w:val="24"/>
                <w:szCs w:val="24"/>
              </w:rPr>
              <w:br/>
              <w:t>На заседании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было</w:t>
            </w:r>
            <w:r w:rsidRPr="00595495">
              <w:rPr>
                <w:rFonts w:ascii="LindeDaxOffice_russian" w:hAnsi="LindeDaxOffice_russian" w:cs="Arial"/>
                <w:sz w:val="24"/>
                <w:szCs w:val="24"/>
              </w:rPr>
              <w:t xml:space="preserve"> выработано решение по определению круга вопросов, которые необходимо урегулировать путем внесения изменений в ФНП ОРПД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.</w:t>
            </w:r>
          </w:p>
          <w:p w:rsidR="00595495" w:rsidRDefault="0059549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6F2DB5" w:rsidRPr="00A16A05" w:rsidRDefault="0059549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В результате ограниченного срока подачи предложений, было принято решение подать рекомендации </w:t>
            </w:r>
            <w:r w:rsidR="006F2DB5">
              <w:rPr>
                <w:rFonts w:ascii="LindeDaxOffice_russian" w:hAnsi="LindeDaxOffice_russian" w:cs="Arial"/>
                <w:sz w:val="24"/>
                <w:szCs w:val="24"/>
              </w:rPr>
              <w:t xml:space="preserve">к </w:t>
            </w:r>
            <w:r w:rsidR="006F2DB5" w:rsidRPr="00595495">
              <w:rPr>
                <w:rFonts w:ascii="LindeDaxOffice_russian" w:hAnsi="LindeDaxOffice_russian" w:cs="Arial"/>
                <w:sz w:val="24"/>
                <w:szCs w:val="24"/>
              </w:rPr>
              <w:t>проект</w:t>
            </w:r>
            <w:r w:rsidR="006F2DB5">
              <w:rPr>
                <w:rFonts w:ascii="LindeDaxOffice_russian" w:hAnsi="LindeDaxOffice_russian" w:cs="Arial"/>
                <w:sz w:val="24"/>
                <w:szCs w:val="24"/>
              </w:rPr>
              <w:t>у</w:t>
            </w:r>
            <w:r w:rsidR="006F2DB5" w:rsidRPr="00595495">
              <w:rPr>
                <w:rFonts w:ascii="LindeDaxOffice_russian" w:hAnsi="LindeDaxOffice_russian" w:cs="Arial"/>
                <w:sz w:val="24"/>
                <w:szCs w:val="24"/>
              </w:rPr>
              <w:t xml:space="preserve"> изменений, вносимых в ФНП ОРПД</w:t>
            </w:r>
            <w:r w:rsidR="006F2DB5">
              <w:rPr>
                <w:rFonts w:ascii="LindeDaxOffice_russian" w:hAnsi="LindeDaxOffice_russian" w:cs="Arial"/>
                <w:sz w:val="24"/>
                <w:szCs w:val="24"/>
              </w:rPr>
              <w:t xml:space="preserve"> от каждого </w:t>
            </w:r>
            <w:r w:rsidR="00C947B6">
              <w:rPr>
                <w:rFonts w:ascii="LindeDaxOffice_russian" w:hAnsi="LindeDaxOffice_russian" w:cs="Arial"/>
                <w:sz w:val="24"/>
                <w:szCs w:val="24"/>
              </w:rPr>
              <w:t>члена</w:t>
            </w:r>
            <w:r w:rsidR="006F2DB5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 xml:space="preserve">АПМГ </w:t>
            </w:r>
            <w:r w:rsidR="006F2DB5">
              <w:rPr>
                <w:rFonts w:ascii="LindeDaxOffice_russian" w:hAnsi="LindeDaxOffice_russian" w:cs="Arial"/>
                <w:sz w:val="24"/>
                <w:szCs w:val="24"/>
              </w:rPr>
              <w:t xml:space="preserve">отдельно. Рекомендации были успешно загружены на сайте </w:t>
            </w:r>
            <w:hyperlink r:id="rId9" w:history="1">
              <w:r w:rsidR="006F2DB5" w:rsidRPr="00D80ED0">
                <w:rPr>
                  <w:rStyle w:val="a6"/>
                  <w:rFonts w:ascii="LindeDaxOffice_russian" w:hAnsi="LindeDaxOffice_russian" w:cs="Arial"/>
                  <w:sz w:val="24"/>
                  <w:szCs w:val="24"/>
                  <w:lang w:val="en-US"/>
                </w:rPr>
                <w:t>www</w:t>
              </w:r>
              <w:r w:rsidR="006F2DB5" w:rsidRPr="00A16A05">
                <w:rPr>
                  <w:rStyle w:val="a6"/>
                  <w:rFonts w:ascii="LindeDaxOffice_russian" w:hAnsi="LindeDaxOffice_russian" w:cs="Arial"/>
                  <w:sz w:val="24"/>
                  <w:szCs w:val="24"/>
                </w:rPr>
                <w:t>.</w:t>
              </w:r>
              <w:r w:rsidR="006F2DB5" w:rsidRPr="00D80ED0">
                <w:rPr>
                  <w:rStyle w:val="a6"/>
                  <w:rFonts w:ascii="LindeDaxOffice_russian" w:hAnsi="LindeDaxOffice_russian" w:cs="Arial"/>
                  <w:sz w:val="24"/>
                  <w:szCs w:val="24"/>
                  <w:lang w:val="en-US"/>
                </w:rPr>
                <w:t>regulation</w:t>
              </w:r>
              <w:r w:rsidR="006F2DB5" w:rsidRPr="00A16A05">
                <w:rPr>
                  <w:rStyle w:val="a6"/>
                  <w:rFonts w:ascii="LindeDaxOffice_russian" w:hAnsi="LindeDaxOffice_russian" w:cs="Arial"/>
                  <w:sz w:val="24"/>
                  <w:szCs w:val="24"/>
                </w:rPr>
                <w:t>.</w:t>
              </w:r>
              <w:proofErr w:type="spellStart"/>
              <w:r w:rsidR="006F2DB5" w:rsidRPr="00D80ED0">
                <w:rPr>
                  <w:rStyle w:val="a6"/>
                  <w:rFonts w:ascii="LindeDaxOffice_russian" w:hAnsi="LindeDaxOffice_russian" w:cs="Arial"/>
                  <w:sz w:val="24"/>
                  <w:szCs w:val="24"/>
                  <w:lang w:val="en-US"/>
                </w:rPr>
                <w:t>gov</w:t>
              </w:r>
              <w:proofErr w:type="spellEnd"/>
              <w:r w:rsidR="006F2DB5" w:rsidRPr="00A16A05">
                <w:rPr>
                  <w:rStyle w:val="a6"/>
                  <w:rFonts w:ascii="LindeDaxOffice_russian" w:hAnsi="LindeDaxOffice_russian" w:cs="Arial"/>
                  <w:sz w:val="24"/>
                  <w:szCs w:val="24"/>
                </w:rPr>
                <w:t>.</w:t>
              </w:r>
              <w:proofErr w:type="spellStart"/>
              <w:r w:rsidR="006F2DB5" w:rsidRPr="00D80ED0">
                <w:rPr>
                  <w:rStyle w:val="a6"/>
                  <w:rFonts w:ascii="LindeDaxOffice_russian" w:hAnsi="LindeDaxOffice_russian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F2DB5" w:rsidRPr="00A16A05" w:rsidRDefault="006F2DB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B91A8B" w:rsidRDefault="006F2DB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proofErr w:type="gramStart"/>
            <w:r>
              <w:rPr>
                <w:rFonts w:ascii="LindeDaxOffice_russian" w:hAnsi="LindeDaxOffice_russian" w:cs="Arial"/>
                <w:sz w:val="24"/>
                <w:szCs w:val="24"/>
              </w:rPr>
              <w:t>На основании полученных рекомендаций РТН разработало п</w:t>
            </w:r>
            <w:r w:rsidR="00B91A8B">
              <w:rPr>
                <w:rFonts w:ascii="LindeDaxOffice_russian" w:hAnsi="LindeDaxOffice_russian" w:cs="Arial"/>
                <w:sz w:val="24"/>
                <w:szCs w:val="24"/>
              </w:rPr>
              <w:t>р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оект </w:t>
            </w:r>
            <w:r w:rsidR="00B91A8B">
              <w:rPr>
                <w:rFonts w:ascii="LindeDaxOffice_russian" w:hAnsi="LindeDaxOffice_russian" w:cs="Arial"/>
                <w:sz w:val="24"/>
                <w:szCs w:val="24"/>
              </w:rPr>
              <w:t>«</w:t>
            </w:r>
            <w:r w:rsidRPr="00B91A8B">
              <w:rPr>
                <w:rFonts w:ascii="LindeDaxOffice_russian" w:hAnsi="LindeDaxOffice_russian" w:cs="Arial"/>
                <w:sz w:val="24"/>
                <w:szCs w:val="24"/>
              </w:rPr>
              <w:t>О внесении изменений в Федеральные нормы и правила в области промышленной безопасности «Правила безопасности опасных производственных объектов, на которых используется оборудование, работающее под избыточным давлением»</w:t>
            </w:r>
            <w:r w:rsidR="00B91A8B">
              <w:rPr>
                <w:rFonts w:ascii="LindeDaxOffice_russian" w:hAnsi="LindeDaxOffice_russian" w:cs="Arial"/>
                <w:sz w:val="24"/>
                <w:szCs w:val="24"/>
              </w:rPr>
              <w:t>, в который</w:t>
            </w:r>
            <w:r w:rsidR="00C32B87">
              <w:rPr>
                <w:rFonts w:ascii="LindeDaxOffice_russian" w:hAnsi="LindeDaxOffice_russian" w:cs="Arial"/>
                <w:sz w:val="24"/>
                <w:szCs w:val="24"/>
              </w:rPr>
              <w:t>, к сожалению,</w:t>
            </w:r>
            <w:r w:rsidR="00B91A8B">
              <w:rPr>
                <w:rFonts w:ascii="LindeDaxOffice_russian" w:hAnsi="LindeDaxOffice_russian" w:cs="Arial"/>
                <w:sz w:val="24"/>
                <w:szCs w:val="24"/>
              </w:rPr>
              <w:t xml:space="preserve"> наши рекомендации </w:t>
            </w:r>
            <w:r w:rsidR="00C32B87">
              <w:rPr>
                <w:rFonts w:ascii="LindeDaxOffice_russian" w:hAnsi="LindeDaxOffice_russian" w:cs="Arial"/>
                <w:sz w:val="24"/>
                <w:szCs w:val="24"/>
              </w:rPr>
              <w:t xml:space="preserve">не вошли </w:t>
            </w:r>
            <w:r w:rsidR="00B91A8B">
              <w:rPr>
                <w:rFonts w:ascii="LindeDaxOffice_russian" w:hAnsi="LindeDaxOffice_russian" w:cs="Arial"/>
                <w:sz w:val="24"/>
                <w:szCs w:val="24"/>
              </w:rPr>
              <w:t>в полном объеме.</w:t>
            </w:r>
            <w:proofErr w:type="gramEnd"/>
          </w:p>
          <w:p w:rsidR="00B91A8B" w:rsidRDefault="00B91A8B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B91A8B" w:rsidRPr="00720513" w:rsidRDefault="00B91A8B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По рекомендации </w:t>
            </w:r>
            <w:r w:rsidR="00C32B87">
              <w:rPr>
                <w:rFonts w:ascii="LindeDaxOffice_russian" w:hAnsi="LindeDaxOffice_russian" w:cs="Arial"/>
                <w:sz w:val="24"/>
                <w:szCs w:val="24"/>
              </w:rPr>
              <w:t xml:space="preserve">Правления 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АПМГ, было предложено разработать консолидированную позицию от АПМГ и направить её в РТН.</w:t>
            </w:r>
          </w:p>
          <w:p w:rsidR="00E0509D" w:rsidRPr="00720513" w:rsidRDefault="00E0509D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943C6B" w:rsidRDefault="00943C6B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>25 апрел</w:t>
            </w:r>
            <w:r w:rsidR="00C32B87">
              <w:rPr>
                <w:rFonts w:ascii="LindeDaxOffice_russian" w:hAnsi="LindeDaxOffice_russian" w:cs="Arial"/>
                <w:sz w:val="24"/>
                <w:szCs w:val="24"/>
              </w:rPr>
              <w:t>я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2016 г. б</w:t>
            </w:r>
            <w:r w:rsidR="00B91A8B">
              <w:rPr>
                <w:rFonts w:ascii="LindeDaxOffice_russian" w:hAnsi="LindeDaxOffice_russian" w:cs="Arial"/>
                <w:sz w:val="24"/>
                <w:szCs w:val="24"/>
              </w:rPr>
              <w:t xml:space="preserve">ыла инициирована внеочередная встреча рабочей группы </w:t>
            </w:r>
            <w:r w:rsidR="00B91A8B">
              <w:rPr>
                <w:rFonts w:ascii="LindeDaxOffice_russian" w:hAnsi="LindeDaxOffice_russian" w:cs="Arial"/>
                <w:sz w:val="24"/>
                <w:szCs w:val="24"/>
              </w:rPr>
              <w:lastRenderedPageBreak/>
              <w:t>«</w:t>
            </w:r>
            <w:r w:rsidR="00C32B87">
              <w:rPr>
                <w:rFonts w:ascii="LindeDaxOffice_russian" w:hAnsi="LindeDaxOffice_russian" w:cs="Arial"/>
                <w:sz w:val="24"/>
                <w:szCs w:val="24"/>
              </w:rPr>
              <w:t>Газовые б</w:t>
            </w:r>
            <w:r w:rsidR="00B91A8B">
              <w:rPr>
                <w:rFonts w:ascii="LindeDaxOffice_russian" w:hAnsi="LindeDaxOffice_russian" w:cs="Arial"/>
                <w:sz w:val="24"/>
                <w:szCs w:val="24"/>
              </w:rPr>
              <w:t>аллоны»</w:t>
            </w:r>
            <w:r w:rsidR="00C32B87">
              <w:rPr>
                <w:rFonts w:ascii="LindeDaxOffice_russian" w:hAnsi="LindeDaxOffice_russian" w:cs="Arial"/>
                <w:sz w:val="24"/>
                <w:szCs w:val="24"/>
              </w:rPr>
              <w:t>,</w:t>
            </w:r>
            <w:r w:rsidR="00B91A8B">
              <w:rPr>
                <w:rFonts w:ascii="LindeDaxOffice_russian" w:hAnsi="LindeDaxOffice_russian" w:cs="Arial"/>
                <w:sz w:val="24"/>
                <w:szCs w:val="24"/>
              </w:rPr>
              <w:t xml:space="preserve"> на которой </w:t>
            </w:r>
            <w:r w:rsidR="00C32B87">
              <w:rPr>
                <w:rFonts w:ascii="LindeDaxOffice_russian" w:hAnsi="LindeDaxOffice_russian" w:cs="Arial"/>
                <w:sz w:val="24"/>
                <w:szCs w:val="24"/>
              </w:rPr>
              <w:t xml:space="preserve">были 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разработа</w:t>
            </w:r>
            <w:r w:rsidR="00C32B87">
              <w:rPr>
                <w:rFonts w:ascii="LindeDaxOffice_russian" w:hAnsi="LindeDaxOffice_russian" w:cs="Arial"/>
                <w:sz w:val="24"/>
                <w:szCs w:val="24"/>
              </w:rPr>
              <w:t>ны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="00A16A05">
              <w:rPr>
                <w:rFonts w:ascii="LindeDaxOffice_russian" w:hAnsi="LindeDaxOffice_russian" w:cs="Arial"/>
                <w:sz w:val="24"/>
                <w:szCs w:val="24"/>
              </w:rPr>
              <w:t>совместные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рекомендации АПМГ № 21 от 27.04.2016 г. к </w:t>
            </w:r>
            <w:r w:rsidRPr="00943C6B">
              <w:rPr>
                <w:rFonts w:ascii="LindeDaxOffice_russian" w:hAnsi="LindeDaxOffice_russian" w:cs="Arial"/>
                <w:sz w:val="24"/>
                <w:szCs w:val="24"/>
              </w:rPr>
              <w:t>Предложения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м</w:t>
            </w:r>
            <w:r w:rsidRPr="00943C6B">
              <w:rPr>
                <w:rFonts w:ascii="LindeDaxOffice_russian" w:hAnsi="LindeDaxOffice_russian" w:cs="Arial"/>
                <w:sz w:val="24"/>
                <w:szCs w:val="24"/>
              </w:rPr>
              <w:t xml:space="preserve"> по внесению изменений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Pr="00943C6B">
              <w:rPr>
                <w:rFonts w:ascii="LindeDaxOffice_russian" w:hAnsi="LindeDaxOffice_russian" w:cs="Arial"/>
                <w:sz w:val="24"/>
                <w:szCs w:val="24"/>
              </w:rPr>
              <w:t>в приказ «О внесении изменений в Ф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НП ОРПД</w:t>
            </w:r>
            <w:r w:rsidR="00573701">
              <w:rPr>
                <w:rFonts w:ascii="LindeDaxOffice_russian" w:hAnsi="LindeDaxOffice_russian" w:cs="Arial"/>
                <w:sz w:val="24"/>
                <w:szCs w:val="24"/>
              </w:rPr>
              <w:t>»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и непосредственно п</w:t>
            </w:r>
            <w:r w:rsidRPr="00943C6B">
              <w:rPr>
                <w:rFonts w:ascii="LindeDaxOffice_russian" w:hAnsi="LindeDaxOffice_russian" w:cs="Arial"/>
                <w:sz w:val="24"/>
                <w:szCs w:val="24"/>
              </w:rPr>
              <w:t>редложения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Pr="00943C6B">
              <w:rPr>
                <w:rFonts w:ascii="LindeDaxOffice_russian" w:hAnsi="LindeDaxOffice_russian" w:cs="Arial"/>
                <w:sz w:val="24"/>
                <w:szCs w:val="24"/>
              </w:rPr>
              <w:t xml:space="preserve">на внесение изменений в 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сами </w:t>
            </w:r>
            <w:r w:rsidRPr="00943C6B">
              <w:rPr>
                <w:rFonts w:ascii="LindeDaxOffice_russian" w:hAnsi="LindeDaxOffice_russian" w:cs="Arial"/>
                <w:sz w:val="24"/>
                <w:szCs w:val="24"/>
              </w:rPr>
              <w:t>ФНП «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ОРПД</w:t>
            </w:r>
            <w:r w:rsidRPr="00943C6B">
              <w:rPr>
                <w:rFonts w:ascii="LindeDaxOffice_russian" w:hAnsi="LindeDaxOffice_russian" w:cs="Arial"/>
                <w:sz w:val="24"/>
                <w:szCs w:val="24"/>
              </w:rPr>
              <w:t>»</w:t>
            </w:r>
            <w:r w:rsidR="00314783">
              <w:rPr>
                <w:rFonts w:ascii="LindeDaxOffice_russian" w:hAnsi="LindeDaxOffice_russian" w:cs="Arial"/>
                <w:sz w:val="24"/>
                <w:szCs w:val="24"/>
              </w:rPr>
              <w:t>.</w:t>
            </w:r>
          </w:p>
          <w:p w:rsidR="00E12FE6" w:rsidRDefault="00E12FE6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b/>
                <w:sz w:val="24"/>
                <w:szCs w:val="24"/>
              </w:rPr>
            </w:pPr>
          </w:p>
          <w:p w:rsidR="00A30631" w:rsidRPr="00A30631" w:rsidRDefault="00A30631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>О</w:t>
            </w:r>
            <w:r w:rsidRPr="00A30631">
              <w:rPr>
                <w:rFonts w:ascii="LindeDaxOffice_russian" w:hAnsi="LindeDaxOffice_russian" w:cs="Arial"/>
                <w:sz w:val="24"/>
                <w:szCs w:val="24"/>
              </w:rPr>
              <w:t>бращение АПМГ в ТК 357 с просьбой рассмотреть возможность вступления АПМГ в качестве члена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было рассмотрено</w:t>
            </w:r>
            <w:r w:rsidRPr="00A30631">
              <w:rPr>
                <w:rFonts w:ascii="LindeDaxOffice_russian" w:hAnsi="LindeDaxOffice_russian" w:cs="Arial"/>
                <w:sz w:val="24"/>
                <w:szCs w:val="24"/>
              </w:rPr>
              <w:t>. В результате, в качестве представителя АПМГ в ТК 357 был выбран Молотков Дмитрий.</w:t>
            </w:r>
          </w:p>
          <w:p w:rsidR="00A30631" w:rsidRDefault="00A30631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b/>
                <w:sz w:val="24"/>
                <w:szCs w:val="24"/>
              </w:rPr>
            </w:pPr>
          </w:p>
          <w:p w:rsidR="00E12FE6" w:rsidRDefault="00E12FE6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B61056">
              <w:rPr>
                <w:rFonts w:ascii="LindeDaxOffice_russian" w:hAnsi="LindeDaxOffice_russian"/>
                <w:b/>
                <w:sz w:val="24"/>
                <w:szCs w:val="24"/>
              </w:rPr>
              <w:t>Дальнейшие шаги</w:t>
            </w:r>
            <w:r>
              <w:rPr>
                <w:rFonts w:ascii="LindeDaxOffice_russian" w:hAnsi="LindeDaxOffice_russian"/>
                <w:sz w:val="24"/>
                <w:szCs w:val="24"/>
              </w:rPr>
              <w:t>:</w:t>
            </w:r>
          </w:p>
          <w:p w:rsidR="00B4536B" w:rsidRPr="00693455" w:rsidRDefault="00E12FE6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693455">
              <w:rPr>
                <w:rFonts w:ascii="LindeDaxOffice_russian" w:hAnsi="LindeDaxOffice_russian" w:cs="Arial"/>
                <w:sz w:val="24"/>
                <w:szCs w:val="24"/>
              </w:rPr>
              <w:t xml:space="preserve">Продолжить работу с РТН по вопросам </w:t>
            </w:r>
            <w:r w:rsidR="00B4536B" w:rsidRPr="00693455">
              <w:rPr>
                <w:rFonts w:ascii="LindeDaxOffice_russian" w:hAnsi="LindeDaxOffice_russian" w:cs="Arial"/>
                <w:sz w:val="24"/>
                <w:szCs w:val="24"/>
              </w:rPr>
              <w:t>внесения предложений АПМГ (№ 21 от 27.04.2016 г.)  в действующую редакцию ФНП ОРПД.</w:t>
            </w:r>
          </w:p>
          <w:p w:rsidR="00E12FE6" w:rsidRDefault="00E12FE6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1B3AE3" w:rsidRPr="001B3AE3" w:rsidRDefault="001B3AE3" w:rsidP="00837093">
            <w:pPr>
              <w:pStyle w:val="a4"/>
              <w:numPr>
                <w:ilvl w:val="0"/>
                <w:numId w:val="20"/>
              </w:numPr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C43411">
              <w:rPr>
                <w:rFonts w:ascii="LindeDaxOffice_russian" w:hAnsi="LindeDaxOffice_russian"/>
                <w:sz w:val="24"/>
                <w:szCs w:val="24"/>
                <w:u w:val="single"/>
              </w:rPr>
              <w:t>Методика проведения ТО импортных баллонов</w:t>
            </w:r>
          </w:p>
          <w:p w:rsidR="001B3AE3" w:rsidRDefault="001B3AE3" w:rsidP="00837093">
            <w:pPr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194B3E" w:rsidRPr="00720513" w:rsidRDefault="00194B3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>После начала тесного сотрудничества с ОАО «</w:t>
            </w:r>
            <w:proofErr w:type="spellStart"/>
            <w:r>
              <w:rPr>
                <w:rFonts w:ascii="LindeDaxOffice_russian" w:hAnsi="LindeDaxOffice_russian" w:cs="Arial"/>
                <w:sz w:val="24"/>
                <w:szCs w:val="24"/>
              </w:rPr>
              <w:t>РосНИТИ</w:t>
            </w:r>
            <w:proofErr w:type="spellEnd"/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», группе </w:t>
            </w:r>
            <w:r w:rsidR="00595495">
              <w:rPr>
                <w:rFonts w:ascii="LindeDaxOffice_russian" w:hAnsi="LindeDaxOffice_russian" w:cs="Arial"/>
                <w:sz w:val="24"/>
                <w:szCs w:val="24"/>
              </w:rPr>
              <w:t>«</w:t>
            </w:r>
            <w:r w:rsidR="00314783">
              <w:rPr>
                <w:rFonts w:ascii="LindeDaxOffice_russian" w:hAnsi="LindeDaxOffice_russian" w:cs="Arial"/>
                <w:sz w:val="24"/>
                <w:szCs w:val="24"/>
              </w:rPr>
              <w:t>Газовые б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аллоны</w:t>
            </w:r>
            <w:r w:rsidR="00595495">
              <w:rPr>
                <w:rFonts w:ascii="LindeDaxOffice_russian" w:hAnsi="LindeDaxOffice_russian" w:cs="Arial"/>
                <w:sz w:val="24"/>
                <w:szCs w:val="24"/>
              </w:rPr>
              <w:t>»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удалось включиться в работу над редакцией новых стандартов и методик.</w:t>
            </w:r>
          </w:p>
          <w:p w:rsidR="00363EE5" w:rsidRPr="00720513" w:rsidRDefault="00363EE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194B3E" w:rsidRPr="00720513" w:rsidRDefault="00194B3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Представители </w:t>
            </w:r>
            <w:r w:rsidR="00314783">
              <w:rPr>
                <w:rFonts w:ascii="LindeDaxOffice_russian" w:hAnsi="LindeDaxOffice_russian" w:cs="Arial"/>
                <w:sz w:val="24"/>
                <w:szCs w:val="24"/>
              </w:rPr>
              <w:t>Г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руппы рассмотрели </w:t>
            </w:r>
            <w:r w:rsidRPr="001B3AE3">
              <w:rPr>
                <w:rFonts w:ascii="LindeDaxOffice_russian" w:hAnsi="LindeDaxOffice_russian" w:cs="Arial"/>
                <w:sz w:val="24"/>
                <w:szCs w:val="24"/>
              </w:rPr>
              <w:t xml:space="preserve">текст 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и дали свои комментарии </w:t>
            </w:r>
            <w:proofErr w:type="gramStart"/>
            <w:r>
              <w:rPr>
                <w:rFonts w:ascii="LindeDaxOffice_russian" w:hAnsi="LindeDaxOffice_russian" w:cs="Arial"/>
                <w:sz w:val="24"/>
                <w:szCs w:val="24"/>
              </w:rPr>
              <w:t>на</w:t>
            </w:r>
            <w:proofErr w:type="gramEnd"/>
            <w:r>
              <w:rPr>
                <w:rFonts w:ascii="LindeDaxOffice_russian" w:hAnsi="LindeDaxOffice_russian" w:cs="Arial"/>
                <w:sz w:val="24"/>
                <w:szCs w:val="24"/>
              </w:rPr>
              <w:t>:</w:t>
            </w:r>
          </w:p>
          <w:p w:rsidR="00363EE5" w:rsidRPr="00720513" w:rsidRDefault="00363EE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194B3E" w:rsidRPr="00E12FE6" w:rsidRDefault="00194B3E" w:rsidP="00837093">
            <w:pPr>
              <w:pStyle w:val="a4"/>
              <w:tabs>
                <w:tab w:val="left" w:pos="3675"/>
              </w:tabs>
              <w:jc w:val="both"/>
              <w:rPr>
                <w:rFonts w:eastAsia="Times New Roman"/>
                <w:b/>
                <w:sz w:val="40"/>
                <w:szCs w:val="40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- </w:t>
            </w:r>
            <w:r w:rsidR="00E12FE6">
              <w:rPr>
                <w:rFonts w:ascii="LindeDaxOffice_russian" w:hAnsi="LindeDaxOffice_russian" w:cs="Arial"/>
                <w:sz w:val="24"/>
                <w:szCs w:val="24"/>
              </w:rPr>
              <w:t>ГОСТ</w:t>
            </w:r>
            <w:r w:rsidR="00E12FE6" w:rsidRPr="00E12FE6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="00E12FE6">
              <w:rPr>
                <w:rFonts w:ascii="LindeDaxOffice_russian" w:hAnsi="LindeDaxOffice_russian" w:cs="Arial"/>
                <w:sz w:val="24"/>
                <w:szCs w:val="24"/>
              </w:rPr>
              <w:t>(</w:t>
            </w:r>
            <w:r w:rsidR="00E12FE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ISO</w:t>
            </w:r>
            <w:r w:rsidR="00E12FE6" w:rsidRPr="00194B3E">
              <w:rPr>
                <w:rFonts w:ascii="LindeDaxOffice_russian" w:hAnsi="LindeDaxOffice_russian" w:cs="Arial"/>
                <w:sz w:val="24"/>
                <w:szCs w:val="24"/>
              </w:rPr>
              <w:t xml:space="preserve"> 9809-1:2010</w:t>
            </w:r>
            <w:r w:rsidR="00E12FE6">
              <w:rPr>
                <w:rFonts w:ascii="LindeDaxOffice_russian" w:hAnsi="LindeDaxOffice_russian" w:cs="Arial"/>
                <w:sz w:val="24"/>
                <w:szCs w:val="24"/>
              </w:rPr>
              <w:t xml:space="preserve">), </w:t>
            </w:r>
            <w:r w:rsidRPr="00194B3E">
              <w:rPr>
                <w:rFonts w:ascii="LindeDaxOffice_russian" w:hAnsi="LindeDaxOffice_russian" w:cs="Arial"/>
                <w:sz w:val="24"/>
                <w:szCs w:val="24"/>
              </w:rPr>
              <w:t>Бесшовные стальные газовые баллоны многоразового использования. Проектирование, изготовление и испытание. Часть 1. Стальные баллоны, подвергнутые закалке и отпуску, с пределом прочности при растяжении менее 1100 МПа</w:t>
            </w:r>
            <w:r w:rsidR="00BA7E55" w:rsidRPr="00BA7E55">
              <w:rPr>
                <w:rFonts w:ascii="LindeDaxOffice_russian" w:hAnsi="LindeDaxOffice_russian" w:cs="Arial"/>
                <w:sz w:val="24"/>
                <w:szCs w:val="24"/>
              </w:rPr>
              <w:t>.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</w:p>
          <w:p w:rsidR="00194B3E" w:rsidRDefault="00194B3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E12FE6" w:rsidRPr="00720513" w:rsidRDefault="00194B3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>- Методику</w:t>
            </w:r>
            <w:r w:rsidR="00E12FE6">
              <w:rPr>
                <w:rFonts w:ascii="LindeDaxOffice_russian" w:hAnsi="LindeDaxOffice_russian" w:cs="Arial"/>
                <w:sz w:val="24"/>
                <w:szCs w:val="24"/>
              </w:rPr>
              <w:t xml:space="preserve"> (</w:t>
            </w:r>
            <w:r w:rsidR="00E12FE6" w:rsidRPr="00194B3E">
              <w:rPr>
                <w:rFonts w:ascii="LindeDaxOffice_russian" w:hAnsi="LindeDaxOffice_russian" w:cs="Arial"/>
                <w:sz w:val="24"/>
                <w:szCs w:val="24"/>
              </w:rPr>
              <w:t>МТО 14-ЗР-001-2016</w:t>
            </w:r>
            <w:r w:rsidR="00E12FE6">
              <w:rPr>
                <w:rFonts w:ascii="LindeDaxOffice_russian" w:hAnsi="LindeDaxOffice_russian" w:cs="Arial"/>
                <w:sz w:val="24"/>
                <w:szCs w:val="24"/>
              </w:rPr>
              <w:t>)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технического освидетельствования 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lastRenderedPageBreak/>
              <w:t>стальных бесшовных баллонов малой и средней вместимости на рабочее давление до 19,6 МПа, изготовленных по ГОСТ 949</w:t>
            </w:r>
            <w:r w:rsidR="00E12FE6">
              <w:rPr>
                <w:rFonts w:ascii="LindeDaxOffice_russian" w:hAnsi="LindeDaxOffice_russian" w:cs="Arial"/>
                <w:sz w:val="24"/>
                <w:szCs w:val="24"/>
              </w:rPr>
              <w:t>.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</w:p>
          <w:p w:rsidR="00BA7E55" w:rsidRPr="00720513" w:rsidRDefault="00BA7E5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194B3E" w:rsidRDefault="00E12FE6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E12FE6">
              <w:rPr>
                <w:rFonts w:ascii="LindeDaxOffice_russian" w:hAnsi="LindeDaxOffice_russian" w:cs="Arial"/>
                <w:b/>
                <w:sz w:val="24"/>
                <w:szCs w:val="24"/>
              </w:rPr>
              <w:t>В</w:t>
            </w:r>
            <w:r w:rsidR="00194B3E" w:rsidRPr="00E12FE6">
              <w:rPr>
                <w:rFonts w:ascii="LindeDaxOffice_russian" w:hAnsi="LindeDaxOffice_russian" w:cs="Arial"/>
                <w:b/>
                <w:sz w:val="24"/>
                <w:szCs w:val="24"/>
              </w:rPr>
              <w:t xml:space="preserve"> результате</w:t>
            </w:r>
            <w:r w:rsidR="00194B3E">
              <w:rPr>
                <w:rFonts w:ascii="LindeDaxOffice_russian" w:hAnsi="LindeDaxOffice_russian" w:cs="Arial"/>
                <w:sz w:val="24"/>
                <w:szCs w:val="24"/>
              </w:rPr>
              <w:t xml:space="preserve"> от АПМГ был сформирован официальный отзыв за № 18 от 08.04.2016 г. </w:t>
            </w:r>
          </w:p>
          <w:p w:rsidR="00E12FE6" w:rsidRDefault="00E12FE6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b/>
                <w:sz w:val="24"/>
                <w:szCs w:val="24"/>
              </w:rPr>
            </w:pPr>
          </w:p>
          <w:p w:rsidR="00E12FE6" w:rsidRDefault="00E12FE6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B61056">
              <w:rPr>
                <w:rFonts w:ascii="LindeDaxOffice_russian" w:hAnsi="LindeDaxOffice_russian"/>
                <w:b/>
                <w:sz w:val="24"/>
                <w:szCs w:val="24"/>
              </w:rPr>
              <w:t>Дальнейшие шаги</w:t>
            </w:r>
            <w:r>
              <w:rPr>
                <w:rFonts w:ascii="LindeDaxOffice_russian" w:hAnsi="LindeDaxOffice_russian"/>
                <w:sz w:val="24"/>
                <w:szCs w:val="24"/>
              </w:rPr>
              <w:t>:</w:t>
            </w:r>
          </w:p>
          <w:p w:rsidR="001B3AE3" w:rsidRDefault="00E12FE6" w:rsidP="00837093">
            <w:pPr>
              <w:tabs>
                <w:tab w:val="left" w:pos="3675"/>
              </w:tabs>
              <w:ind w:left="709"/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Продолжить тесную работу с </w:t>
            </w:r>
            <w:proofErr w:type="spellStart"/>
            <w:r>
              <w:rPr>
                <w:rFonts w:ascii="LindeDaxOffice_russian" w:hAnsi="LindeDaxOffice_russian" w:cs="Arial"/>
                <w:sz w:val="24"/>
                <w:szCs w:val="24"/>
              </w:rPr>
              <w:t>РосНИТИ</w:t>
            </w:r>
            <w:proofErr w:type="spellEnd"/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и ТК-357, по вопросам разработки и усовершенствования стандартов и методик</w:t>
            </w:r>
            <w:r w:rsidR="00B4536B">
              <w:rPr>
                <w:rFonts w:ascii="LindeDaxOffice_russian" w:hAnsi="LindeDaxOffice_russian" w:cs="Arial"/>
                <w:sz w:val="24"/>
                <w:szCs w:val="24"/>
              </w:rPr>
              <w:t xml:space="preserve">, </w:t>
            </w:r>
            <w:r w:rsidR="00B4536B" w:rsidRPr="00693455">
              <w:rPr>
                <w:rFonts w:ascii="LindeDaxOffice_russian" w:hAnsi="LindeDaxOffice_russian" w:cs="Arial"/>
                <w:sz w:val="24"/>
                <w:szCs w:val="24"/>
              </w:rPr>
              <w:t xml:space="preserve">руководствуясь опытом </w:t>
            </w:r>
            <w:r w:rsidR="00C947B6" w:rsidRPr="00693455">
              <w:rPr>
                <w:rFonts w:ascii="LindeDaxOffice_russian" w:hAnsi="LindeDaxOffice_russian" w:cs="Arial"/>
                <w:sz w:val="24"/>
                <w:szCs w:val="24"/>
              </w:rPr>
              <w:t>членов</w:t>
            </w:r>
            <w:r w:rsidR="00B4536B" w:rsidRPr="00693455">
              <w:rPr>
                <w:rFonts w:ascii="LindeDaxOffice_russian" w:hAnsi="LindeDaxOffice_russian" w:cs="Arial"/>
                <w:sz w:val="24"/>
                <w:szCs w:val="24"/>
              </w:rPr>
              <w:t xml:space="preserve"> АПМГ и опираясь на европейские и мировые стандарты.</w:t>
            </w:r>
          </w:p>
          <w:p w:rsidR="001B3AE3" w:rsidRDefault="001B3AE3" w:rsidP="00837093">
            <w:pPr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474C09" w:rsidRDefault="001B3AE3" w:rsidP="00837093">
            <w:pPr>
              <w:pStyle w:val="a4"/>
              <w:numPr>
                <w:ilvl w:val="0"/>
                <w:numId w:val="20"/>
              </w:numPr>
              <w:rPr>
                <w:rFonts w:ascii="LindeDaxOffice_russian" w:hAnsi="LindeDaxOffice_russian"/>
                <w:sz w:val="24"/>
                <w:szCs w:val="24"/>
              </w:rPr>
            </w:pPr>
            <w:r w:rsidRPr="00C43411">
              <w:rPr>
                <w:rFonts w:ascii="LindeDaxOffice_russian" w:hAnsi="LindeDaxOffice_russian"/>
                <w:sz w:val="24"/>
                <w:szCs w:val="24"/>
                <w:u w:val="single"/>
              </w:rPr>
              <w:t>Борьба с недобросовестными поставщиками продукции и услу</w:t>
            </w:r>
            <w:r>
              <w:rPr>
                <w:rFonts w:ascii="LindeDaxOffice_russian" w:hAnsi="LindeDaxOffice_russian"/>
                <w:sz w:val="24"/>
                <w:szCs w:val="24"/>
                <w:u w:val="single"/>
              </w:rPr>
              <w:t>г:</w:t>
            </w:r>
            <w:r w:rsidRPr="00C43411">
              <w:rPr>
                <w:rFonts w:ascii="LindeDaxOffice_russian" w:hAnsi="LindeDaxOffice_russian"/>
                <w:sz w:val="24"/>
                <w:szCs w:val="24"/>
              </w:rPr>
              <w:t xml:space="preserve"> </w:t>
            </w:r>
          </w:p>
          <w:p w:rsidR="001B3AE3" w:rsidRPr="001B3AE3" w:rsidRDefault="001B3AE3" w:rsidP="00837093">
            <w:pPr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A30631" w:rsidRPr="00720513" w:rsidRDefault="00194B3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В результате взаимодействия АПМГ и РТН в части рассмотрения рекомендаций к действующей редакции </w:t>
            </w:r>
            <w:r w:rsidR="00B303C8">
              <w:rPr>
                <w:rFonts w:ascii="LindeDaxOffice_russian" w:hAnsi="LindeDaxOffice_russian" w:cs="Arial"/>
                <w:sz w:val="24"/>
                <w:szCs w:val="24"/>
              </w:rPr>
              <w:t>ФНП</w:t>
            </w:r>
            <w:r w:rsidR="00E12FE6">
              <w:rPr>
                <w:rFonts w:ascii="LindeDaxOffice_russian" w:hAnsi="LindeDaxOffice_russian" w:cs="Arial"/>
                <w:sz w:val="24"/>
                <w:szCs w:val="24"/>
              </w:rPr>
              <w:t xml:space="preserve"> ОРПД №</w:t>
            </w:r>
            <w:r w:rsidR="00B303C8">
              <w:rPr>
                <w:rFonts w:ascii="LindeDaxOffice_russian" w:hAnsi="LindeDaxOffice_russian" w:cs="Arial"/>
                <w:sz w:val="24"/>
                <w:szCs w:val="24"/>
              </w:rPr>
              <w:t>116, была озвучена позиция Ассоциации о необходимости борьбы с недобросовестными поставщиками услуг в области проведения ремонта и периодического</w:t>
            </w:r>
            <w:r w:rsidR="00E12FE6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="00B303C8">
              <w:rPr>
                <w:rFonts w:ascii="LindeDaxOffice_russian" w:hAnsi="LindeDaxOffice_russian" w:cs="Arial"/>
                <w:sz w:val="24"/>
                <w:szCs w:val="24"/>
              </w:rPr>
              <w:t xml:space="preserve">переосвидетельствования баллонов. Такая позиция вызвана </w:t>
            </w:r>
            <w:r w:rsidR="00FF2B22">
              <w:rPr>
                <w:rFonts w:ascii="LindeDaxOffice_russian" w:hAnsi="LindeDaxOffice_russian" w:cs="Arial"/>
                <w:sz w:val="24"/>
                <w:szCs w:val="24"/>
              </w:rPr>
              <w:t xml:space="preserve">озабоченностью вопросами </w:t>
            </w:r>
            <w:r w:rsidR="00B303C8">
              <w:rPr>
                <w:rFonts w:ascii="LindeDaxOffice_russian" w:hAnsi="LindeDaxOffice_russian" w:cs="Arial"/>
                <w:sz w:val="24"/>
                <w:szCs w:val="24"/>
              </w:rPr>
              <w:t>безопасной эксплуатации баллонов</w:t>
            </w:r>
            <w:r w:rsidR="00E12FE6">
              <w:rPr>
                <w:rFonts w:ascii="LindeDaxOffice_russian" w:hAnsi="LindeDaxOffice_russian" w:cs="Arial"/>
                <w:sz w:val="24"/>
                <w:szCs w:val="24"/>
              </w:rPr>
              <w:t xml:space="preserve"> на </w:t>
            </w:r>
            <w:r w:rsidR="00FF2B22">
              <w:rPr>
                <w:rFonts w:ascii="LindeDaxOffice_russian" w:hAnsi="LindeDaxOffice_russian" w:cs="Arial"/>
                <w:sz w:val="24"/>
                <w:szCs w:val="24"/>
              </w:rPr>
              <w:t xml:space="preserve">всех </w:t>
            </w:r>
            <w:r w:rsidR="00E12FE6">
              <w:rPr>
                <w:rFonts w:ascii="LindeDaxOffice_russian" w:hAnsi="LindeDaxOffice_russian" w:cs="Arial"/>
                <w:sz w:val="24"/>
                <w:szCs w:val="24"/>
              </w:rPr>
              <w:t>производственных площадках</w:t>
            </w:r>
            <w:r w:rsidR="00B303C8">
              <w:rPr>
                <w:rFonts w:ascii="LindeDaxOffice_russian" w:hAnsi="LindeDaxOffice_russian" w:cs="Arial"/>
                <w:sz w:val="24"/>
                <w:szCs w:val="24"/>
              </w:rPr>
              <w:t xml:space="preserve">. </w:t>
            </w:r>
          </w:p>
          <w:p w:rsidR="00FB73A8" w:rsidRPr="00720513" w:rsidRDefault="00FB73A8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B303C8" w:rsidRDefault="00FF2B22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В качестве </w:t>
            </w:r>
            <w:r w:rsidR="00B303C8">
              <w:rPr>
                <w:rFonts w:ascii="LindeDaxOffice_russian" w:hAnsi="LindeDaxOffice_russian" w:cs="Arial"/>
                <w:sz w:val="24"/>
                <w:szCs w:val="24"/>
              </w:rPr>
              <w:t>перв</w:t>
            </w:r>
            <w:r w:rsidR="00B9010E">
              <w:rPr>
                <w:rFonts w:ascii="LindeDaxOffice_russian" w:hAnsi="LindeDaxOffice_russian" w:cs="Arial"/>
                <w:sz w:val="24"/>
                <w:szCs w:val="24"/>
              </w:rPr>
              <w:t>оначальн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ой</w:t>
            </w:r>
            <w:r w:rsidR="00B9010E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="00B303C8">
              <w:rPr>
                <w:rFonts w:ascii="LindeDaxOffice_russian" w:hAnsi="LindeDaxOffice_russian" w:cs="Arial"/>
                <w:sz w:val="24"/>
                <w:szCs w:val="24"/>
              </w:rPr>
              <w:t>мер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ы</w:t>
            </w:r>
            <w:r w:rsidR="00B303C8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="00A30631">
              <w:rPr>
                <w:rFonts w:ascii="LindeDaxOffice_russian" w:hAnsi="LindeDaxOffice_russian" w:cs="Arial"/>
                <w:sz w:val="24"/>
                <w:szCs w:val="24"/>
              </w:rPr>
              <w:t>был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о</w:t>
            </w:r>
            <w:r w:rsidR="00A30631">
              <w:rPr>
                <w:rFonts w:ascii="LindeDaxOffice_russian" w:hAnsi="LindeDaxOffice_russian" w:cs="Arial"/>
                <w:sz w:val="24"/>
                <w:szCs w:val="24"/>
              </w:rPr>
              <w:t xml:space="preserve"> предложен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о</w:t>
            </w:r>
            <w:r w:rsidR="00A30631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создать </w:t>
            </w:r>
            <w:r w:rsidR="00A30631">
              <w:rPr>
                <w:rFonts w:ascii="LindeDaxOffice_russian" w:hAnsi="LindeDaxOffice_russian" w:cs="Arial"/>
                <w:sz w:val="24"/>
                <w:szCs w:val="24"/>
              </w:rPr>
              <w:t>един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ый</w:t>
            </w:r>
            <w:r w:rsidR="00A30631">
              <w:rPr>
                <w:rFonts w:ascii="LindeDaxOffice_russian" w:hAnsi="LindeDaxOffice_russian" w:cs="Arial"/>
                <w:sz w:val="24"/>
                <w:szCs w:val="24"/>
              </w:rPr>
              <w:t xml:space="preserve"> спис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о</w:t>
            </w:r>
            <w:r w:rsidR="00A30631">
              <w:rPr>
                <w:rFonts w:ascii="LindeDaxOffice_russian" w:hAnsi="LindeDaxOffice_russian" w:cs="Arial"/>
                <w:sz w:val="24"/>
                <w:szCs w:val="24"/>
              </w:rPr>
              <w:t xml:space="preserve">к </w:t>
            </w:r>
            <w:r w:rsidR="00B303C8">
              <w:rPr>
                <w:rFonts w:ascii="LindeDaxOffice_russian" w:hAnsi="LindeDaxOffice_russian" w:cs="Arial"/>
                <w:sz w:val="24"/>
                <w:szCs w:val="24"/>
              </w:rPr>
              <w:t>организаци</w:t>
            </w:r>
            <w:r w:rsidR="00A30631">
              <w:rPr>
                <w:rFonts w:ascii="LindeDaxOffice_russian" w:hAnsi="LindeDaxOffice_russian" w:cs="Arial"/>
                <w:sz w:val="24"/>
                <w:szCs w:val="24"/>
              </w:rPr>
              <w:t>й</w:t>
            </w:r>
            <w:r w:rsidR="00B303C8">
              <w:rPr>
                <w:rFonts w:ascii="LindeDaxOffice_russian" w:hAnsi="LindeDaxOffice_russian" w:cs="Arial"/>
                <w:sz w:val="24"/>
                <w:szCs w:val="24"/>
              </w:rPr>
              <w:t>, которым были выданы клейма для проведения переосвидетельствования баллонов.</w:t>
            </w:r>
          </w:p>
          <w:p w:rsidR="00B303C8" w:rsidRDefault="00B303C8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Также предлагалась </w:t>
            </w:r>
            <w:r w:rsidR="00A30631">
              <w:rPr>
                <w:rFonts w:ascii="LindeDaxOffice_russian" w:hAnsi="LindeDaxOffice_russian" w:cs="Arial"/>
                <w:sz w:val="24"/>
                <w:szCs w:val="24"/>
              </w:rPr>
              <w:t xml:space="preserve">разместить </w:t>
            </w:r>
            <w:r w:rsidR="00B9010E">
              <w:rPr>
                <w:rFonts w:ascii="LindeDaxOffice_russian" w:hAnsi="LindeDaxOffice_russian" w:cs="Arial"/>
                <w:sz w:val="24"/>
                <w:szCs w:val="24"/>
              </w:rPr>
              <w:t>данн</w:t>
            </w:r>
            <w:r w:rsidR="00A30631">
              <w:rPr>
                <w:rFonts w:ascii="LindeDaxOffice_russian" w:hAnsi="LindeDaxOffice_russian" w:cs="Arial"/>
                <w:sz w:val="24"/>
                <w:szCs w:val="24"/>
              </w:rPr>
              <w:t>ый список</w:t>
            </w:r>
            <w:r w:rsidR="00B9010E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на официальном сайте </w:t>
            </w:r>
            <w:proofErr w:type="spellStart"/>
            <w:r>
              <w:rPr>
                <w:rFonts w:ascii="LindeDaxOffice_russian" w:hAnsi="LindeDaxOffice_russian" w:cs="Arial"/>
                <w:sz w:val="24"/>
                <w:szCs w:val="24"/>
              </w:rPr>
              <w:t>Р</w:t>
            </w:r>
            <w:r w:rsidR="00B9010E">
              <w:rPr>
                <w:rFonts w:ascii="LindeDaxOffice_russian" w:hAnsi="LindeDaxOffice_russian" w:cs="Arial"/>
                <w:sz w:val="24"/>
                <w:szCs w:val="24"/>
              </w:rPr>
              <w:t>остехнадзора</w:t>
            </w:r>
            <w:proofErr w:type="spellEnd"/>
            <w:r w:rsidR="00B9010E">
              <w:rPr>
                <w:rFonts w:ascii="LindeDaxOffice_russian" w:hAnsi="LindeDaxOffice_russian" w:cs="Arial"/>
                <w:sz w:val="24"/>
                <w:szCs w:val="24"/>
              </w:rPr>
              <w:t>.</w:t>
            </w:r>
          </w:p>
          <w:p w:rsidR="00A30631" w:rsidRDefault="00A30631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b/>
                <w:sz w:val="24"/>
                <w:szCs w:val="24"/>
              </w:rPr>
            </w:pPr>
          </w:p>
          <w:p w:rsidR="00AB59FE" w:rsidRPr="00720513" w:rsidRDefault="00B303C8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B303C8">
              <w:rPr>
                <w:rFonts w:ascii="LindeDaxOffice_russian" w:hAnsi="LindeDaxOffice_russian" w:cs="Arial"/>
                <w:b/>
                <w:sz w:val="24"/>
                <w:szCs w:val="24"/>
              </w:rPr>
              <w:t>В результате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, на сайте РТН появился необходимый </w:t>
            </w:r>
            <w:r w:rsidR="00B9010E" w:rsidRPr="00B9010E">
              <w:rPr>
                <w:rFonts w:ascii="LindeDaxOffice_russian" w:hAnsi="LindeDaxOffice_russian" w:cs="Arial"/>
                <w:sz w:val="24"/>
                <w:szCs w:val="24"/>
              </w:rPr>
              <w:t>Перечень организаций</w:t>
            </w:r>
            <w:r w:rsidR="00FF2B22">
              <w:rPr>
                <w:rFonts w:ascii="LindeDaxOffice_russian" w:hAnsi="LindeDaxOffice_russian" w:cs="Arial"/>
                <w:sz w:val="24"/>
                <w:szCs w:val="24"/>
              </w:rPr>
              <w:t>,</w:t>
            </w:r>
            <w:r w:rsidR="00B9010E" w:rsidRPr="00B9010E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="00B9010E" w:rsidRPr="00B9010E">
              <w:rPr>
                <w:rFonts w:ascii="LindeDaxOffice_russian" w:hAnsi="LindeDaxOffice_russian" w:cs="Arial"/>
                <w:sz w:val="24"/>
                <w:szCs w:val="24"/>
              </w:rPr>
              <w:lastRenderedPageBreak/>
              <w:t xml:space="preserve">имеющих выданные </w:t>
            </w:r>
            <w:proofErr w:type="spellStart"/>
            <w:r w:rsidR="00B9010E" w:rsidRPr="00B9010E">
              <w:rPr>
                <w:rFonts w:ascii="LindeDaxOffice_russian" w:hAnsi="LindeDaxOffice_russian" w:cs="Arial"/>
                <w:sz w:val="24"/>
                <w:szCs w:val="24"/>
              </w:rPr>
              <w:t>Ростехнадзором</w:t>
            </w:r>
            <w:proofErr w:type="spellEnd"/>
            <w:r w:rsidR="00B9010E" w:rsidRPr="00B9010E">
              <w:rPr>
                <w:rFonts w:ascii="LindeDaxOffice_russian" w:hAnsi="LindeDaxOffice_russian" w:cs="Arial"/>
                <w:sz w:val="24"/>
                <w:szCs w:val="24"/>
              </w:rPr>
              <w:t xml:space="preserve"> клейма с шифрами для клеймения баллонов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: </w:t>
            </w:r>
          </w:p>
          <w:p w:rsidR="00B303C8" w:rsidRDefault="00B303C8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B303C8">
              <w:rPr>
                <w:rFonts w:ascii="LindeDaxOffice_russian" w:hAnsi="LindeDaxOffice_russian" w:cs="Arial"/>
                <w:sz w:val="16"/>
                <w:szCs w:val="16"/>
              </w:rPr>
              <w:t>http://www.gosnadzor.ru/industrial/equipment/kleim/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  </w:t>
            </w:r>
          </w:p>
          <w:p w:rsidR="001B3AE3" w:rsidRPr="0088718F" w:rsidRDefault="001B3AE3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B4536B" w:rsidRPr="009B4E0A" w:rsidRDefault="00B4536B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 w:rsidRPr="009B4E0A">
              <w:rPr>
                <w:rFonts w:ascii="LindeDaxOffice_russian" w:hAnsi="LindeDaxOffice_russian"/>
                <w:b/>
                <w:sz w:val="24"/>
                <w:szCs w:val="24"/>
              </w:rPr>
              <w:t>Дальнейшие шаги</w:t>
            </w:r>
            <w:r w:rsidRPr="009B4E0A">
              <w:rPr>
                <w:rFonts w:ascii="LindeDaxOffice_russian" w:hAnsi="LindeDaxOffice_russian"/>
                <w:sz w:val="24"/>
                <w:szCs w:val="24"/>
              </w:rPr>
              <w:t>:</w:t>
            </w:r>
          </w:p>
          <w:p w:rsidR="00A45FCA" w:rsidRPr="009B4E0A" w:rsidRDefault="0069345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proofErr w:type="gramStart"/>
            <w:r w:rsidRPr="009B4E0A">
              <w:rPr>
                <w:rFonts w:ascii="LindeDaxOffice_russian" w:hAnsi="LindeDaxOffice_russian" w:cs="Arial"/>
                <w:sz w:val="24"/>
                <w:szCs w:val="24"/>
              </w:rPr>
              <w:t>Зап</w:t>
            </w:r>
            <w:r w:rsidR="005D3D14" w:rsidRPr="009B4E0A">
              <w:rPr>
                <w:rFonts w:ascii="LindeDaxOffice_russian" w:hAnsi="LindeDaxOffice_russian" w:cs="Arial"/>
                <w:sz w:val="24"/>
                <w:szCs w:val="24"/>
              </w:rPr>
              <w:t>росить РТН н</w:t>
            </w:r>
            <w:r w:rsidR="00B4536B" w:rsidRPr="009B4E0A">
              <w:rPr>
                <w:rFonts w:ascii="LindeDaxOffice_russian" w:hAnsi="LindeDaxOffice_russian" w:cs="Arial"/>
                <w:sz w:val="24"/>
                <w:szCs w:val="24"/>
              </w:rPr>
              <w:t>аписать</w:t>
            </w:r>
            <w:proofErr w:type="gramEnd"/>
            <w:r w:rsidR="00B4536B" w:rsidRPr="009B4E0A">
              <w:rPr>
                <w:rFonts w:ascii="LindeDaxOffice_russian" w:hAnsi="LindeDaxOffice_russian" w:cs="Arial"/>
                <w:sz w:val="24"/>
                <w:szCs w:val="24"/>
              </w:rPr>
              <w:t xml:space="preserve"> открытое письмо </w:t>
            </w:r>
            <w:r w:rsidR="005D3D14" w:rsidRPr="009B4E0A">
              <w:rPr>
                <w:rFonts w:ascii="LindeDaxOffice_russian" w:hAnsi="LindeDaxOffice_russian" w:cs="Arial"/>
                <w:sz w:val="24"/>
                <w:szCs w:val="24"/>
              </w:rPr>
              <w:t>всем заинтересованным лицам о существующей возможности узнавать на официальном сайте РТН, принадлежность и актуальность клейм, выданных организациям для проведения переосвидетельствования баллонов.</w:t>
            </w:r>
          </w:p>
          <w:p w:rsidR="00A45FCA" w:rsidRPr="009B4E0A" w:rsidRDefault="005D3D1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9B4E0A">
              <w:rPr>
                <w:rFonts w:ascii="LindeDaxOffice_russian" w:hAnsi="LindeDaxOffice_russian" w:cs="Arial"/>
                <w:sz w:val="24"/>
                <w:szCs w:val="24"/>
              </w:rPr>
              <w:t xml:space="preserve">После получения письма от РТН, написать разъяснительное письмо от АПМГ, которое будет направлено от каждого </w:t>
            </w:r>
            <w:r w:rsidR="00C947B6" w:rsidRPr="009B4E0A">
              <w:rPr>
                <w:rFonts w:ascii="LindeDaxOffice_russian" w:hAnsi="LindeDaxOffice_russian" w:cs="Arial"/>
                <w:sz w:val="24"/>
                <w:szCs w:val="24"/>
              </w:rPr>
              <w:t>члена</w:t>
            </w:r>
            <w:r w:rsidRPr="009B4E0A">
              <w:rPr>
                <w:rFonts w:ascii="LindeDaxOffice_russian" w:hAnsi="LindeDaxOffice_russian" w:cs="Arial"/>
                <w:sz w:val="24"/>
                <w:szCs w:val="24"/>
              </w:rPr>
              <w:t xml:space="preserve"> ассоциации своим клиентам.</w:t>
            </w:r>
          </w:p>
          <w:p w:rsidR="00A45FCA" w:rsidRPr="0088718F" w:rsidRDefault="00A45FCA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8110E6" w:rsidRPr="00720513" w:rsidRDefault="00943C6B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b/>
                <w:sz w:val="24"/>
                <w:szCs w:val="24"/>
              </w:rPr>
            </w:pPr>
            <w:r w:rsidRPr="00A30631">
              <w:rPr>
                <w:rFonts w:ascii="LindeDaxOffice_russian" w:hAnsi="LindeDaxOffice_russian" w:cs="Arial"/>
                <w:b/>
                <w:sz w:val="24"/>
                <w:szCs w:val="24"/>
              </w:rPr>
              <w:t xml:space="preserve">Дополнительно </w:t>
            </w:r>
            <w:r w:rsidR="00A30631" w:rsidRPr="00A30631">
              <w:rPr>
                <w:rFonts w:ascii="LindeDaxOffice_russian" w:hAnsi="LindeDaxOffice_russian" w:cs="Arial"/>
                <w:b/>
                <w:sz w:val="24"/>
                <w:szCs w:val="24"/>
              </w:rPr>
              <w:t xml:space="preserve">за </w:t>
            </w:r>
            <w:r w:rsidRPr="00A30631">
              <w:rPr>
                <w:rFonts w:ascii="LindeDaxOffice_russian" w:hAnsi="LindeDaxOffice_russian" w:cs="Arial"/>
                <w:b/>
                <w:sz w:val="24"/>
                <w:szCs w:val="24"/>
              </w:rPr>
              <w:t>отчетный период</w:t>
            </w:r>
            <w:r w:rsidR="008110E6" w:rsidRPr="00A30631">
              <w:rPr>
                <w:rFonts w:ascii="LindeDaxOffice_russian" w:hAnsi="LindeDaxOffice_russian" w:cs="Arial"/>
                <w:b/>
                <w:sz w:val="24"/>
                <w:szCs w:val="24"/>
              </w:rPr>
              <w:t>:</w:t>
            </w:r>
          </w:p>
          <w:p w:rsidR="001C4BC0" w:rsidRPr="00720513" w:rsidRDefault="001C4BC0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b/>
                <w:sz w:val="24"/>
                <w:szCs w:val="24"/>
              </w:rPr>
            </w:pPr>
          </w:p>
          <w:p w:rsidR="00B84379" w:rsidRPr="00720513" w:rsidRDefault="00B84379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b/>
                <w:sz w:val="24"/>
                <w:szCs w:val="24"/>
              </w:rPr>
            </w:pPr>
          </w:p>
          <w:p w:rsidR="00FB2A09" w:rsidRPr="00A30631" w:rsidRDefault="001C4BC0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>Б</w:t>
            </w:r>
            <w:r w:rsidR="008110E6" w:rsidRPr="00A30631">
              <w:rPr>
                <w:rFonts w:ascii="LindeDaxOffice_russian" w:hAnsi="LindeDaxOffice_russian" w:cs="Arial"/>
                <w:sz w:val="24"/>
                <w:szCs w:val="24"/>
              </w:rPr>
              <w:t>ыл</w:t>
            </w:r>
            <w:r w:rsidR="004564BE" w:rsidRPr="00A30631">
              <w:rPr>
                <w:rFonts w:ascii="LindeDaxOffice_russian" w:hAnsi="LindeDaxOffice_russian" w:cs="Arial"/>
                <w:sz w:val="24"/>
                <w:szCs w:val="24"/>
              </w:rPr>
              <w:t>о</w:t>
            </w:r>
            <w:r w:rsidR="008110E6" w:rsidRPr="00A30631">
              <w:rPr>
                <w:rFonts w:ascii="LindeDaxOffice_russian" w:hAnsi="LindeDaxOffice_russian" w:cs="Arial"/>
                <w:sz w:val="24"/>
                <w:szCs w:val="24"/>
              </w:rPr>
              <w:t xml:space="preserve"> рассмотрен</w:t>
            </w:r>
            <w:r w:rsidR="004564BE" w:rsidRPr="00A30631">
              <w:rPr>
                <w:rFonts w:ascii="LindeDaxOffice_russian" w:hAnsi="LindeDaxOffice_russian" w:cs="Arial"/>
                <w:sz w:val="24"/>
                <w:szCs w:val="24"/>
              </w:rPr>
              <w:t>о</w:t>
            </w:r>
            <w:r w:rsidR="008110E6" w:rsidRPr="00A30631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="004564BE" w:rsidRPr="00A30631">
              <w:rPr>
                <w:rFonts w:ascii="LindeDaxOffice_russian" w:hAnsi="LindeDaxOffice_russian" w:cs="Arial"/>
                <w:sz w:val="24"/>
                <w:szCs w:val="24"/>
              </w:rPr>
              <w:t xml:space="preserve">обращение </w:t>
            </w:r>
            <w:r w:rsidR="00FB2A09" w:rsidRPr="00A30631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="008110E6" w:rsidRPr="00A30631">
              <w:rPr>
                <w:rFonts w:ascii="LindeDaxOffice_russian" w:hAnsi="LindeDaxOffice_russian" w:cs="Arial"/>
                <w:sz w:val="24"/>
                <w:szCs w:val="24"/>
              </w:rPr>
              <w:t xml:space="preserve">ТК 114 в </w:t>
            </w:r>
            <w:r w:rsidR="00FB2A09" w:rsidRPr="00A30631">
              <w:rPr>
                <w:rFonts w:ascii="LindeDaxOffice_russian" w:hAnsi="LindeDaxOffice_russian" w:cs="Arial"/>
                <w:sz w:val="24"/>
                <w:szCs w:val="24"/>
              </w:rPr>
              <w:t xml:space="preserve">АПМГ </w:t>
            </w:r>
            <w:r w:rsidR="004564BE" w:rsidRPr="00A30631">
              <w:rPr>
                <w:rFonts w:ascii="LindeDaxOffice_russian" w:hAnsi="LindeDaxOffice_russian" w:cs="Arial"/>
                <w:sz w:val="24"/>
                <w:szCs w:val="24"/>
              </w:rPr>
              <w:t xml:space="preserve">с предложением о сотрудничестве. Одним из предложений было включить ТК-114 </w:t>
            </w:r>
            <w:r w:rsidR="00FB2A09" w:rsidRPr="00A30631">
              <w:rPr>
                <w:rFonts w:ascii="LindeDaxOffice_russian" w:hAnsi="LindeDaxOffice_russian" w:cs="Arial"/>
                <w:sz w:val="24"/>
                <w:szCs w:val="24"/>
              </w:rPr>
              <w:t>в качестве представителя в одну из рабочих групп</w:t>
            </w:r>
            <w:r w:rsidR="004564BE" w:rsidRPr="00A30631">
              <w:rPr>
                <w:rFonts w:ascii="LindeDaxOffice_russian" w:hAnsi="LindeDaxOffice_russian" w:cs="Arial"/>
                <w:sz w:val="24"/>
                <w:szCs w:val="24"/>
              </w:rPr>
              <w:t xml:space="preserve"> АПМГ</w:t>
            </w:r>
            <w:r w:rsidR="00FB2A09" w:rsidRPr="00A30631">
              <w:rPr>
                <w:rFonts w:ascii="LindeDaxOffice_russian" w:hAnsi="LindeDaxOffice_russian" w:cs="Arial"/>
                <w:sz w:val="24"/>
                <w:szCs w:val="24"/>
              </w:rPr>
              <w:t>.</w:t>
            </w:r>
          </w:p>
          <w:p w:rsidR="004564BE" w:rsidRPr="00A30631" w:rsidRDefault="004564B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4564BE" w:rsidRPr="00720513" w:rsidRDefault="004564B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  <w:r w:rsidRPr="00A30631">
              <w:rPr>
                <w:rFonts w:ascii="LindeDaxOffice_russian" w:hAnsi="LindeDaxOffice_russian" w:cs="Arial"/>
                <w:b/>
                <w:sz w:val="24"/>
                <w:szCs w:val="24"/>
              </w:rPr>
              <w:t xml:space="preserve">В </w:t>
            </w:r>
            <w:r w:rsidR="00A30631" w:rsidRPr="00A30631">
              <w:rPr>
                <w:rFonts w:ascii="LindeDaxOffice_russian" w:hAnsi="LindeDaxOffice_russian" w:cs="Arial"/>
                <w:b/>
                <w:sz w:val="24"/>
                <w:szCs w:val="24"/>
              </w:rPr>
              <w:t>результате:</w:t>
            </w:r>
            <w:r w:rsidRPr="00A30631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="00FB2A09" w:rsidRPr="00A30631">
              <w:rPr>
                <w:rFonts w:ascii="LindeDaxOffice_russian" w:hAnsi="LindeDaxOffice_russian" w:cs="Arial"/>
                <w:sz w:val="24"/>
                <w:szCs w:val="24"/>
              </w:rPr>
              <w:t>На основании предварительного обсуждения</w:t>
            </w:r>
            <w:r w:rsidR="00A30631">
              <w:rPr>
                <w:rFonts w:ascii="LindeDaxOffice_russian" w:hAnsi="LindeDaxOffice_russian" w:cs="Arial"/>
                <w:sz w:val="24"/>
                <w:szCs w:val="24"/>
              </w:rPr>
              <w:t>,</w:t>
            </w:r>
            <w:r w:rsidR="00FB2A09" w:rsidRPr="00A30631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Pr="00A30631">
              <w:rPr>
                <w:rFonts w:ascii="LindeDaxOffice_russian" w:hAnsi="LindeDaxOffice_russian" w:cs="Arial"/>
                <w:sz w:val="24"/>
                <w:szCs w:val="24"/>
              </w:rPr>
              <w:t xml:space="preserve">все </w:t>
            </w:r>
            <w:r w:rsidR="00C947B6">
              <w:rPr>
                <w:rFonts w:ascii="LindeDaxOffice_russian" w:hAnsi="LindeDaxOffice_russian" w:cs="Arial"/>
                <w:sz w:val="24"/>
                <w:szCs w:val="24"/>
              </w:rPr>
              <w:t>члены</w:t>
            </w:r>
            <w:r w:rsidRPr="00A30631">
              <w:rPr>
                <w:rFonts w:ascii="LindeDaxOffice_russian" w:hAnsi="LindeDaxOffice_russian" w:cs="Arial"/>
                <w:sz w:val="24"/>
                <w:szCs w:val="24"/>
              </w:rPr>
              <w:t xml:space="preserve"> </w:t>
            </w:r>
            <w:r w:rsidR="005D1F5A">
              <w:rPr>
                <w:rFonts w:ascii="LindeDaxOffice_russian" w:hAnsi="LindeDaxOffice_russian" w:cs="Arial"/>
                <w:sz w:val="24"/>
                <w:szCs w:val="24"/>
              </w:rPr>
              <w:t xml:space="preserve">Группы </w:t>
            </w:r>
            <w:r w:rsidRPr="00A30631">
              <w:rPr>
                <w:rFonts w:ascii="LindeDaxOffice_russian" w:hAnsi="LindeDaxOffice_russian" w:cs="Arial"/>
                <w:sz w:val="24"/>
                <w:szCs w:val="24"/>
              </w:rPr>
              <w:t>пришли к единому мнению, что участие ТК-114 в рабочей группе «</w:t>
            </w:r>
            <w:r w:rsidR="005D1F5A">
              <w:rPr>
                <w:rFonts w:ascii="LindeDaxOffice_russian" w:hAnsi="LindeDaxOffice_russian" w:cs="Arial"/>
                <w:sz w:val="24"/>
                <w:szCs w:val="24"/>
              </w:rPr>
              <w:t>Газовые б</w:t>
            </w:r>
            <w:r w:rsidRPr="00A30631">
              <w:rPr>
                <w:rFonts w:ascii="LindeDaxOffice_russian" w:hAnsi="LindeDaxOffice_russian" w:cs="Arial"/>
                <w:sz w:val="24"/>
                <w:szCs w:val="24"/>
              </w:rPr>
              <w:t>аллоны» не</w:t>
            </w:r>
            <w:r w:rsidR="005D1F5A">
              <w:rPr>
                <w:rFonts w:ascii="LindeDaxOffice_russian" w:hAnsi="LindeDaxOffice_russian" w:cs="Arial"/>
                <w:sz w:val="24"/>
                <w:szCs w:val="24"/>
              </w:rPr>
              <w:t>целесообразно</w:t>
            </w:r>
            <w:r w:rsidRPr="00A30631">
              <w:rPr>
                <w:rFonts w:ascii="LindeDaxOffice_russian" w:hAnsi="LindeDaxOffice_russian" w:cs="Arial"/>
                <w:sz w:val="24"/>
                <w:szCs w:val="24"/>
              </w:rPr>
              <w:t xml:space="preserve">, т.к. основная задача ТК-114 </w:t>
            </w:r>
            <w:r w:rsidR="005D1F5A">
              <w:rPr>
                <w:rFonts w:ascii="LindeDaxOffice_russian" w:hAnsi="LindeDaxOffice_russian" w:cs="Arial"/>
                <w:sz w:val="24"/>
                <w:szCs w:val="24"/>
              </w:rPr>
              <w:t xml:space="preserve">- </w:t>
            </w:r>
            <w:r w:rsidRPr="00A30631">
              <w:rPr>
                <w:rFonts w:ascii="LindeDaxOffice_russian" w:hAnsi="LindeDaxOffice_russian" w:cs="Arial"/>
                <w:sz w:val="24"/>
                <w:szCs w:val="24"/>
              </w:rPr>
              <w:t>это работа по стандартизации кислородного и криогенного оборудования.</w:t>
            </w:r>
          </w:p>
          <w:p w:rsidR="000C128D" w:rsidRPr="00720513" w:rsidRDefault="000C128D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</w:rPr>
            </w:pPr>
          </w:p>
          <w:p w:rsidR="00F34B78" w:rsidRPr="003F3DBF" w:rsidRDefault="005D1F5A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sz w:val="28"/>
                <w:szCs w:val="28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</w:rPr>
              <w:t>Б</w:t>
            </w:r>
            <w:r w:rsidR="004564BE" w:rsidRPr="00A30631">
              <w:rPr>
                <w:rFonts w:ascii="LindeDaxOffice_russian" w:hAnsi="LindeDaxOffice_russian" w:cs="Arial"/>
                <w:sz w:val="24"/>
                <w:szCs w:val="24"/>
              </w:rPr>
              <w:t>азов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ым</w:t>
            </w:r>
            <w:r w:rsidR="004564BE" w:rsidRPr="00A30631">
              <w:rPr>
                <w:rFonts w:ascii="LindeDaxOffice_russian" w:hAnsi="LindeDaxOffice_russian" w:cs="Arial"/>
                <w:sz w:val="24"/>
                <w:szCs w:val="24"/>
              </w:rPr>
              <w:t xml:space="preserve"> техническ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им</w:t>
            </w:r>
            <w:r w:rsidR="004564BE" w:rsidRPr="00A30631">
              <w:rPr>
                <w:rFonts w:ascii="LindeDaxOffice_russian" w:hAnsi="LindeDaxOffice_russian" w:cs="Arial"/>
                <w:sz w:val="24"/>
                <w:szCs w:val="24"/>
              </w:rPr>
              <w:t xml:space="preserve"> комитет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ом</w:t>
            </w:r>
            <w:r w:rsidR="004564BE" w:rsidRPr="00A30631">
              <w:rPr>
                <w:rFonts w:ascii="LindeDaxOffice_russian" w:hAnsi="LindeDaxOffice_russian" w:cs="Arial"/>
                <w:sz w:val="24"/>
                <w:szCs w:val="24"/>
              </w:rPr>
              <w:t xml:space="preserve"> для направления 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 xml:space="preserve">«Газовые </w:t>
            </w:r>
            <w:r w:rsidR="004564BE" w:rsidRPr="00A30631">
              <w:rPr>
                <w:rFonts w:ascii="LindeDaxOffice_russian" w:hAnsi="LindeDaxOffice_russian" w:cs="Arial"/>
                <w:sz w:val="24"/>
                <w:szCs w:val="24"/>
              </w:rPr>
              <w:t>баллоны</w:t>
            </w:r>
            <w:r>
              <w:rPr>
                <w:rFonts w:ascii="LindeDaxOffice_russian" w:hAnsi="LindeDaxOffice_russian" w:cs="Arial"/>
                <w:sz w:val="24"/>
                <w:szCs w:val="24"/>
              </w:rPr>
              <w:t>»</w:t>
            </w:r>
            <w:r w:rsidR="004564BE" w:rsidRPr="00A30631">
              <w:rPr>
                <w:rFonts w:ascii="LindeDaxOffice_russian" w:hAnsi="LindeDaxOffice_russian" w:cs="Arial"/>
                <w:sz w:val="24"/>
                <w:szCs w:val="24"/>
              </w:rPr>
              <w:t xml:space="preserve"> является ТК-357.</w:t>
            </w:r>
          </w:p>
        </w:tc>
        <w:tc>
          <w:tcPr>
            <w:tcW w:w="5245" w:type="dxa"/>
          </w:tcPr>
          <w:p w:rsidR="00561EC4" w:rsidRDefault="00561EC4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lastRenderedPageBreak/>
              <w:t>During the last</w:t>
            </w:r>
            <w:r w:rsidR="00A75369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reporting period</w:t>
            </w:r>
            <w:r w:rsid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2015-2016,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meeting</w:t>
            </w:r>
            <w:r w:rsid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</w:t>
            </w:r>
            <w:r w:rsidR="00A75369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of the W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orking group "Gas cylinders" </w:t>
            </w:r>
            <w:r w:rsid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were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organized six times:</w:t>
            </w:r>
          </w:p>
          <w:p w:rsidR="00F265B0" w:rsidRPr="002C4DD6" w:rsidRDefault="00F265B0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61EC4" w:rsidRPr="002C4DD6" w:rsidRDefault="002C4DD6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1. 27.02.2015 (over</w:t>
            </w:r>
            <w:r w:rsidR="00561EC4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the phone).</w:t>
            </w:r>
          </w:p>
          <w:p w:rsidR="00561EC4" w:rsidRPr="002C4DD6" w:rsidRDefault="00561EC4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2. 31.03.2015 (office </w:t>
            </w:r>
            <w:r w:rsid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of OOO "Praxair </w:t>
            </w:r>
            <w:proofErr w:type="spellStart"/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Rus</w:t>
            </w:r>
            <w:proofErr w:type="spellEnd"/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").</w:t>
            </w:r>
          </w:p>
          <w:p w:rsidR="00561EC4" w:rsidRPr="002C4DD6" w:rsidRDefault="00561EC4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3. 06.26.2015 (</w:t>
            </w:r>
            <w:r w:rsid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office of OOO "Air </w:t>
            </w:r>
            <w:proofErr w:type="spellStart"/>
            <w:r w:rsid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Liquide</w:t>
            </w:r>
            <w:proofErr w:type="spellEnd"/>
            <w:r w:rsid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).</w:t>
            </w:r>
          </w:p>
          <w:p w:rsidR="00561EC4" w:rsidRPr="002C4DD6" w:rsidRDefault="00561EC4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4. 14.10.2015 (office of "</w:t>
            </w:r>
            <w:proofErr w:type="spellStart"/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Linde</w:t>
            </w:r>
            <w:proofErr w:type="spellEnd"/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Gas </w:t>
            </w:r>
            <w:proofErr w:type="spellStart"/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Rus</w:t>
            </w:r>
            <w:proofErr w:type="spellEnd"/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").</w:t>
            </w:r>
          </w:p>
          <w:p w:rsidR="00561EC4" w:rsidRPr="002C4DD6" w:rsidRDefault="00561EC4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5. 24.02.2016 (office</w:t>
            </w:r>
            <w:r w:rsid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of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"Pra</w:t>
            </w:r>
            <w:r w:rsid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xair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Rus</w:t>
            </w:r>
            <w:proofErr w:type="spellEnd"/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").</w:t>
            </w:r>
          </w:p>
          <w:p w:rsidR="000D375F" w:rsidRPr="002C4DD6" w:rsidRDefault="002C4DD6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6. 25.04.2016 (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office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of "Air Products”</w:t>
            </w:r>
            <w:r w:rsidR="00561EC4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)</w:t>
            </w:r>
          </w:p>
          <w:p w:rsidR="000D375F" w:rsidRPr="002C4DD6" w:rsidRDefault="000D375F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61EC4" w:rsidRPr="002C4DD6" w:rsidRDefault="00C92480" w:rsidP="00837093">
            <w:pPr>
              <w:jc w:val="both"/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  <w:t>M</w:t>
            </w:r>
            <w:r w:rsidR="00561EC4" w:rsidRPr="002C4DD6"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  <w:t>ain issues on the agenda were:</w:t>
            </w:r>
          </w:p>
          <w:p w:rsidR="003718F6" w:rsidRDefault="00561EC4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 </w:t>
            </w:r>
          </w:p>
          <w:p w:rsidR="00C92480" w:rsidRPr="002C4DD6" w:rsidRDefault="00C92480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61EC4" w:rsidRPr="002C4DD6" w:rsidRDefault="00561EC4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1.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SHEQ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:</w:t>
            </w:r>
          </w:p>
          <w:p w:rsidR="00561EC4" w:rsidRDefault="00C92480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- E</w:t>
            </w:r>
            <w:r w:rsidR="00561EC4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xchange of exper</w:t>
            </w:r>
            <w:r w:rsid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iences, lessons learned from</w:t>
            </w:r>
            <w:r w:rsidR="00561EC4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incident</w:t>
            </w:r>
            <w:r w:rsid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</w:t>
            </w:r>
            <w:r w:rsidR="00561EC4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</w:p>
          <w:p w:rsidR="00C92480" w:rsidRPr="002C4DD6" w:rsidRDefault="00C92480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61EC4" w:rsidRPr="002C4DD6" w:rsidRDefault="00561EC4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2. </w:t>
            </w:r>
            <w:r w:rsidR="002C4DD6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Ownership of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cylinders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:</w:t>
            </w:r>
          </w:p>
          <w:p w:rsidR="00561EC4" w:rsidRDefault="00561EC4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  - </w:t>
            </w:r>
            <w:r w:rsidR="00C92480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</w:t>
            </w:r>
            <w:r w:rsid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ntroduction of the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model "</w:t>
            </w:r>
            <w:r w:rsidR="00616C4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 w:rsid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owner of cylinders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</w:t>
            </w:r>
            <w:r w:rsidR="002C4DD6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in Russia</w:t>
            </w:r>
            <w:r w:rsid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</w:p>
          <w:p w:rsidR="00C92480" w:rsidRPr="002C4DD6" w:rsidRDefault="00C92480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61EC4" w:rsidRPr="00254F84" w:rsidRDefault="00561EC4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54F8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3. </w:t>
            </w:r>
            <w:r w:rsidR="00254F84" w:rsidRPr="00254F84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A standard </w:t>
            </w:r>
            <w:r w:rsidR="00254F84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cylinder</w:t>
            </w:r>
            <w:r w:rsidRPr="00254F84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 of 50 liters</w:t>
            </w:r>
            <w:r w:rsidR="00837093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,</w:t>
            </w:r>
            <w:r w:rsidRPr="00254F84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 200 bar</w:t>
            </w:r>
            <w:r w:rsidR="00837093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s</w:t>
            </w:r>
            <w:r w:rsidRPr="00254F8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:</w:t>
            </w:r>
          </w:p>
          <w:p w:rsidR="000D375F" w:rsidRDefault="00561EC4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54F8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  </w:t>
            </w:r>
            <w:r w:rsid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- Approval of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technical characterist</w:t>
            </w:r>
            <w:r w:rsid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ics of the 'universal' cylinder of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50 liters, 200 bar</w:t>
            </w:r>
            <w:r w:rsidR="00837093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for Russian producers.</w:t>
            </w:r>
          </w:p>
          <w:p w:rsidR="00C92480" w:rsidRPr="002C4DD6" w:rsidRDefault="00C92480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61EC4" w:rsidRPr="002C4DD6" w:rsidRDefault="00561EC4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4. </w:t>
            </w:r>
            <w:r w:rsidR="00C92480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Issues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 of new standards</w:t>
            </w:r>
            <w:r w:rsidR="00C92480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’</w:t>
            </w:r>
            <w:r w:rsidR="00C92480" w:rsidRPr="002C4DD6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 development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:</w:t>
            </w:r>
          </w:p>
          <w:p w:rsidR="00561EC4" w:rsidRDefault="00561EC4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  - </w:t>
            </w:r>
            <w:r w:rsidR="00C92480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Participation of the A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ssociation in the preparation of new standards, including</w:t>
            </w:r>
            <w:r w:rsid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cylinder fittings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(RPV for O2 med, thread).</w:t>
            </w:r>
          </w:p>
          <w:p w:rsidR="00C92480" w:rsidRPr="002C4DD6" w:rsidRDefault="00C92480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61EC4" w:rsidRPr="002C4DD6" w:rsidRDefault="00561EC4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5. </w:t>
            </w:r>
            <w:r w:rsidR="00FA51B4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Maintenance procedure</w:t>
            </w:r>
            <w:r w:rsidR="00395114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 for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 imported cylinders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:</w:t>
            </w:r>
          </w:p>
          <w:p w:rsidR="00561EC4" w:rsidRDefault="00C92480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lastRenderedPageBreak/>
              <w:t>  - Implementation</w:t>
            </w:r>
            <w:r w:rsidR="0039511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of </w:t>
            </w:r>
            <w:r w:rsidR="00616C4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 w:rsidR="0039511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EU standards for</w:t>
            </w:r>
            <w:r w:rsidR="00561EC4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cylinders</w:t>
            </w:r>
            <w:r w:rsidR="0039511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’ maintenance</w:t>
            </w:r>
            <w:r w:rsidR="00561EC4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(time, methods, ACE, etc.).</w:t>
            </w:r>
          </w:p>
          <w:p w:rsidR="00A45FCA" w:rsidRPr="002C4DD6" w:rsidRDefault="00A45FCA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61EC4" w:rsidRPr="002C4DD6" w:rsidRDefault="00561EC4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6. </w:t>
            </w:r>
            <w:r w:rsidR="00F265B0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F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ight</w:t>
            </w:r>
            <w:r w:rsidR="00F265B0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ing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 against unscrupulous providers of goods and services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:</w:t>
            </w:r>
          </w:p>
          <w:p w:rsidR="000D375F" w:rsidRPr="002C4DD6" w:rsidRDefault="00C92480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- Implementation</w:t>
            </w:r>
            <w:r w:rsidR="00837093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of the</w:t>
            </w:r>
            <w:r w:rsidR="00561EC4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monitoring</w:t>
            </w:r>
            <w:r w:rsidR="003718F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561EC4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system </w:t>
            </w:r>
            <w:r w:rsidR="003718F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over</w:t>
            </w:r>
            <w:r w:rsidR="00561EC4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illegal manufacturers and companies</w:t>
            </w:r>
            <w:r w:rsidR="003718F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</w:t>
            </w:r>
            <w:r w:rsidR="00561EC4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which </w:t>
            </w:r>
            <w:r w:rsidR="00561EC4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provid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e</w:t>
            </w:r>
            <w:r w:rsidR="00561EC4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3718F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maintenance </w:t>
            </w:r>
            <w:r w:rsidR="00561EC4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services.</w:t>
            </w:r>
          </w:p>
          <w:p w:rsidR="003F3DBF" w:rsidRPr="002C4DD6" w:rsidRDefault="003F3DBF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24BBB" w:rsidRPr="002C4DD6" w:rsidRDefault="00C92480" w:rsidP="00837093">
            <w:pPr>
              <w:jc w:val="both"/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  <w:t>R</w:t>
            </w:r>
            <w:r w:rsidR="003718F6"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  <w:t>esults of</w:t>
            </w:r>
            <w:r w:rsidR="00A24BBB" w:rsidRPr="002C4DD6"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  <w:t xml:space="preserve"> the Group</w:t>
            </w:r>
            <w:r w:rsidR="003718F6"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  <w:t xml:space="preserve"> work</w:t>
            </w:r>
            <w:r w:rsidR="00A24BBB" w:rsidRPr="002C4DD6"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  <w:t>:</w:t>
            </w:r>
          </w:p>
          <w:p w:rsidR="00A24BBB" w:rsidRPr="002C4DD6" w:rsidRDefault="00A24BBB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24BBB" w:rsidRPr="002C4DD6" w:rsidRDefault="00A24BBB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1.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SHEQ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</w:p>
          <w:p w:rsidR="00A24BBB" w:rsidRPr="002C4DD6" w:rsidRDefault="00A24BBB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3F3DBF" w:rsidRPr="003718F6" w:rsidRDefault="003718F6" w:rsidP="00837093">
            <w:pPr>
              <w:pStyle w:val="a4"/>
              <w:tabs>
                <w:tab w:val="left" w:pos="3675"/>
              </w:tabs>
              <w:ind w:left="708"/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OOO </w:t>
            </w:r>
            <w:r w:rsidR="00A24BBB" w:rsidRPr="003718F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"Pra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xair </w:t>
            </w:r>
            <w:proofErr w:type="spellStart"/>
            <w:r w:rsidR="00A24BBB" w:rsidRPr="003718F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Rus</w:t>
            </w:r>
            <w:proofErr w:type="spellEnd"/>
            <w:r w:rsidR="00A24BBB" w:rsidRPr="003718F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made a presentation on main incidents during</w:t>
            </w:r>
            <w:r w:rsidR="00C92480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Pr="003718F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cylinders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’</w:t>
            </w:r>
            <w:r w:rsidRPr="003718F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operation</w:t>
            </w:r>
            <w:r w:rsidR="00A24BBB" w:rsidRPr="003718F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. </w:t>
            </w:r>
            <w:r w:rsidR="00372396" w:rsidRPr="0037239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Cryogen firm LLC made a presentation on the manufacturing quality of cylinders of 50 li</w:t>
            </w:r>
            <w:r w:rsidR="0088718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</w:t>
            </w:r>
            <w:r w:rsidR="00372396" w:rsidRPr="0037239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ers, 200 bar</w:t>
            </w:r>
            <w:r w:rsidR="00837093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</w:t>
            </w:r>
            <w:r w:rsidR="00372396" w:rsidRPr="0037239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837093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produced by Russian manufacturers</w:t>
            </w:r>
            <w:r w:rsidR="00372396" w:rsidRPr="0037239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  <w:r w:rsidR="00372396" w:rsidRPr="00372396">
              <w:rPr>
                <w:rFonts w:ascii="Calibri" w:hAnsi="Calibri"/>
                <w:color w:val="000000"/>
                <w:sz w:val="29"/>
                <w:szCs w:val="29"/>
                <w:shd w:val="clear" w:color="auto" w:fill="FFFFFF"/>
                <w:lang w:val="en-US"/>
              </w:rPr>
              <w:t> </w:t>
            </w:r>
            <w:r w:rsidR="0037239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experience of cylinders’ operation in Russia is constantly </w:t>
            </w:r>
            <w:r w:rsidRPr="003718F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discussed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at meetings of the Work</w:t>
            </w:r>
            <w:r w:rsidR="00A24BBB" w:rsidRPr="003718F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ing group "Gas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cylinders"</w:t>
            </w:r>
            <w:r w:rsidR="00A24BBB" w:rsidRPr="003718F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</w:p>
          <w:p w:rsidR="003F3DBF" w:rsidRPr="002C4DD6" w:rsidRDefault="003F3DBF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3F3DBF" w:rsidRPr="002C4DD6" w:rsidRDefault="003F3DBF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24BBB" w:rsidRPr="002C4DD6" w:rsidRDefault="00A24BBB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2. </w:t>
            </w:r>
            <w:r w:rsidR="003718F6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Ownership of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cylinders</w:t>
            </w:r>
          </w:p>
          <w:p w:rsidR="00A24BBB" w:rsidRPr="002C4DD6" w:rsidRDefault="00A24BBB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3F3DBF" w:rsidRPr="00481D63" w:rsidRDefault="00A24BBB" w:rsidP="00837093">
            <w:pPr>
              <w:pStyle w:val="a4"/>
              <w:tabs>
                <w:tab w:val="left" w:pos="3675"/>
              </w:tabs>
              <w:ind w:left="708"/>
              <w:jc w:val="both"/>
              <w:rPr>
                <w:rFonts w:ascii="LindeDaxOffice_russian" w:hAnsi="LindeDaxOffice_russian"/>
                <w:sz w:val="24"/>
                <w:szCs w:val="24"/>
                <w:lang w:val="en-US"/>
              </w:rPr>
            </w:pPr>
            <w:r w:rsidRP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>As part of the d</w:t>
            </w:r>
            <w:r w:rsidR="003718F6" w:rsidRP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>evelopment of "</w:t>
            </w:r>
            <w:r w:rsidR="00C92480" w:rsidRP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the </w:t>
            </w:r>
            <w:r w:rsidR="003718F6" w:rsidRP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owner of </w:t>
            </w:r>
            <w:r w:rsidR="002C4DD6" w:rsidRP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>cylinder</w:t>
            </w:r>
            <w:r w:rsid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>s</w:t>
            </w:r>
            <w:r w:rsidRP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>" concept</w:t>
            </w:r>
            <w:r w:rsid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>,</w:t>
            </w:r>
            <w:r w:rsidRP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 w:rsid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the </w:t>
            </w:r>
            <w:r w:rsidR="003718F6" w:rsidRP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Eastern European experience </w:t>
            </w:r>
            <w:r w:rsid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of transfer </w:t>
            </w:r>
            <w:r w:rsidR="003718F6" w:rsidRP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from </w:t>
            </w:r>
            <w:r w:rsid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the </w:t>
            </w:r>
            <w:r w:rsidR="003718F6" w:rsidRP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>impersonal</w:t>
            </w:r>
            <w:r w:rsidR="0088718F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“pool”</w:t>
            </w:r>
            <w:r w:rsidR="003718F6" w:rsidRP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model to </w:t>
            </w:r>
            <w:r w:rsid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the </w:t>
            </w:r>
            <w:r w:rsidR="003718F6" w:rsidRP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model </w:t>
            </w:r>
            <w:r w:rsid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of </w:t>
            </w:r>
            <w:r w:rsidR="003718F6" w:rsidRP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>"</w:t>
            </w:r>
            <w:r w:rsidR="00C92480">
              <w:rPr>
                <w:rFonts w:ascii="LindeDaxOffice_russian" w:hAnsi="LindeDaxOffice_russian"/>
                <w:sz w:val="24"/>
                <w:szCs w:val="24"/>
                <w:lang w:val="en-US"/>
              </w:rPr>
              <w:t>the</w:t>
            </w:r>
            <w:r w:rsidR="00C92480" w:rsidRP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 w:rsidR="003718F6" w:rsidRP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>owner of cylinder</w:t>
            </w:r>
            <w:r w:rsid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>s</w:t>
            </w:r>
            <w:r w:rsidR="003718F6" w:rsidRP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" </w:t>
            </w:r>
            <w:r w:rsid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>wa</w:t>
            </w:r>
            <w:r w:rsidRP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>s</w:t>
            </w:r>
            <w:r w:rsid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studied</w:t>
            </w:r>
            <w:r w:rsidRPr="003718F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. </w:t>
            </w:r>
            <w:r w:rsidR="00481D63">
              <w:rPr>
                <w:rFonts w:ascii="LindeDaxOffice_russian" w:hAnsi="LindeDaxOffice_russian"/>
                <w:sz w:val="24"/>
                <w:szCs w:val="24"/>
                <w:lang w:val="en-US"/>
              </w:rPr>
              <w:t>On results of work, a decision was taken</w:t>
            </w:r>
            <w:r w:rsidR="00BF4E5D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to develop </w:t>
            </w:r>
            <w:r w:rsidRPr="00481D63">
              <w:rPr>
                <w:rFonts w:ascii="LindeDaxOffice_russian" w:hAnsi="LindeDaxOffice_russian"/>
                <w:sz w:val="24"/>
                <w:szCs w:val="24"/>
                <w:lang w:val="en-US"/>
              </w:rPr>
              <w:t>proposal</w:t>
            </w:r>
            <w:r w:rsidR="00BF4E5D">
              <w:rPr>
                <w:rFonts w:ascii="LindeDaxOffice_russian" w:hAnsi="LindeDaxOffice_russian"/>
                <w:sz w:val="24"/>
                <w:szCs w:val="24"/>
                <w:lang w:val="en-US"/>
              </w:rPr>
              <w:t>s for introducing</w:t>
            </w:r>
            <w:r w:rsidRPr="00481D6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amend</w:t>
            </w:r>
            <w:r w:rsidR="00BF4E5D">
              <w:rPr>
                <w:rFonts w:ascii="LindeDaxOffice_russian" w:hAnsi="LindeDaxOffice_russian"/>
                <w:sz w:val="24"/>
                <w:szCs w:val="24"/>
                <w:lang w:val="en-US"/>
              </w:rPr>
              <w:t>ments to</w:t>
            </w:r>
            <w:r w:rsidRPr="00481D6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the Federal norms and rules </w:t>
            </w:r>
            <w:r w:rsidR="00BF4E5D" w:rsidRPr="0072051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in the field of industrial safety "Rules of industrial safety for </w:t>
            </w:r>
            <w:r w:rsidRPr="00720513">
              <w:rPr>
                <w:rFonts w:ascii="LindeDaxOffice_russian" w:hAnsi="LindeDaxOffice_russian"/>
                <w:sz w:val="24"/>
                <w:szCs w:val="24"/>
                <w:lang w:val="en-US"/>
              </w:rPr>
              <w:t>hazardous industrial facili</w:t>
            </w:r>
            <w:r w:rsidR="005A5E72" w:rsidRPr="00720513">
              <w:rPr>
                <w:rFonts w:ascii="LindeDaxOffice_russian" w:hAnsi="LindeDaxOffice_russian"/>
                <w:sz w:val="24"/>
                <w:szCs w:val="24"/>
                <w:lang w:val="en-US"/>
              </w:rPr>
              <w:t>ties</w:t>
            </w:r>
            <w:r w:rsidR="00BF4E5D" w:rsidRPr="0072051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 w:rsidR="00A6157F" w:rsidRPr="0072051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that </w:t>
            </w:r>
            <w:r w:rsidR="00BF4E5D" w:rsidRPr="00720513">
              <w:rPr>
                <w:rFonts w:ascii="LindeDaxOffice_russian" w:hAnsi="LindeDaxOffice_russian"/>
                <w:sz w:val="24"/>
                <w:szCs w:val="24"/>
                <w:lang w:val="en-US"/>
              </w:rPr>
              <w:t>us</w:t>
            </w:r>
            <w:r w:rsidR="00A6157F" w:rsidRPr="00720513">
              <w:rPr>
                <w:rFonts w:ascii="LindeDaxOffice_russian" w:hAnsi="LindeDaxOffice_russian"/>
                <w:sz w:val="24"/>
                <w:szCs w:val="24"/>
                <w:lang w:val="en-US"/>
              </w:rPr>
              <w:t>e</w:t>
            </w:r>
            <w:r w:rsidR="00BF4E5D" w:rsidRPr="0072051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the</w:t>
            </w:r>
            <w:r w:rsidRPr="0072051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equipment operating under </w:t>
            </w:r>
            <w:r w:rsidR="00720513" w:rsidRPr="00720513">
              <w:rPr>
                <w:rFonts w:ascii="LindeDaxOffice_russian" w:hAnsi="LindeDaxOffice_russian"/>
                <w:sz w:val="24"/>
                <w:szCs w:val="24"/>
                <w:lang w:val="en-US"/>
              </w:rPr>
              <w:t>positive pressure</w:t>
            </w:r>
            <w:r w:rsidR="0037239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 w:rsidRPr="00720513">
              <w:rPr>
                <w:rFonts w:ascii="LindeDaxOffice_russian" w:hAnsi="LindeDaxOffice_russian"/>
                <w:sz w:val="24"/>
                <w:szCs w:val="24"/>
                <w:lang w:val="en-US"/>
              </w:rPr>
              <w:t>"</w:t>
            </w:r>
            <w:r w:rsidR="00841702" w:rsidRPr="00720513">
              <w:rPr>
                <w:rFonts w:ascii="LindeDaxOffice_russian" w:hAnsi="LindeDaxOffice_russian"/>
                <w:sz w:val="24"/>
                <w:szCs w:val="24"/>
                <w:lang w:val="en-US"/>
              </w:rPr>
              <w:t>.</w:t>
            </w:r>
            <w:r w:rsidRPr="0072051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T</w:t>
            </w:r>
            <w:r w:rsidR="00BF4E5D" w:rsidRPr="00720513">
              <w:rPr>
                <w:rFonts w:ascii="LindeDaxOffice_russian" w:hAnsi="LindeDaxOffice_russian"/>
                <w:sz w:val="24"/>
                <w:szCs w:val="24"/>
                <w:lang w:val="en-US"/>
              </w:rPr>
              <w:t>he text of the letter includes</w:t>
            </w:r>
            <w:r w:rsidRPr="0072051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arguments</w:t>
            </w:r>
            <w:r w:rsidRPr="00481D6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 w:rsidR="00BF4E5D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for transfer to the </w:t>
            </w:r>
            <w:r w:rsidRPr="00481D6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model </w:t>
            </w:r>
            <w:r w:rsidR="00BF4E5D">
              <w:rPr>
                <w:rFonts w:ascii="LindeDaxOffice_russian" w:hAnsi="LindeDaxOffice_russian"/>
                <w:sz w:val="24"/>
                <w:szCs w:val="24"/>
                <w:lang w:val="en-US"/>
              </w:rPr>
              <w:t>of “</w:t>
            </w:r>
            <w:r w:rsidR="00A6157F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the </w:t>
            </w:r>
            <w:r w:rsidR="00BF4E5D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owner of </w:t>
            </w:r>
            <w:r w:rsidRPr="00481D63">
              <w:rPr>
                <w:rFonts w:ascii="LindeDaxOffice_russian" w:hAnsi="LindeDaxOffice_russian"/>
                <w:sz w:val="24"/>
                <w:szCs w:val="24"/>
                <w:lang w:val="en-US"/>
              </w:rPr>
              <w:t>cylinders</w:t>
            </w:r>
            <w:r w:rsidR="00BF4E5D">
              <w:rPr>
                <w:rFonts w:ascii="LindeDaxOffice_russian" w:hAnsi="LindeDaxOffice_russian"/>
                <w:sz w:val="24"/>
                <w:szCs w:val="24"/>
                <w:lang w:val="en-US"/>
              </w:rPr>
              <w:t>”, as</w:t>
            </w:r>
            <w:r w:rsidR="00D075D4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well as clauses of </w:t>
            </w:r>
            <w:r w:rsidR="005A5E72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the FNR EOUP </w:t>
            </w:r>
            <w:r w:rsidR="00837093">
              <w:rPr>
                <w:rFonts w:ascii="LindeDaxOffice_russian" w:hAnsi="LindeDaxOffice_russian"/>
                <w:sz w:val="24"/>
                <w:szCs w:val="24"/>
                <w:lang w:val="en-US"/>
              </w:rPr>
              <w:t>(Federal Norms and</w:t>
            </w:r>
            <w:r w:rsidR="00837093" w:rsidRPr="0083709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 w:rsidR="00837093">
              <w:rPr>
                <w:rFonts w:ascii="LindeDaxOffice_russian" w:hAnsi="LindeDaxOffice_russian"/>
                <w:sz w:val="24"/>
                <w:szCs w:val="24"/>
                <w:lang w:val="en-US"/>
              </w:rPr>
              <w:t>Rules</w:t>
            </w:r>
            <w:r w:rsidR="00837093" w:rsidRPr="0083709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 w:rsidR="008370D9">
              <w:rPr>
                <w:rFonts w:ascii="LindeDaxOffice_russian" w:hAnsi="LindeDaxOffice_russian"/>
                <w:sz w:val="24"/>
                <w:szCs w:val="24"/>
                <w:lang w:val="en-US"/>
              </w:rPr>
              <w:t>“</w:t>
            </w:r>
            <w:r w:rsidR="008370D9" w:rsidRPr="008370D9">
              <w:rPr>
                <w:rFonts w:ascii="LindeDaxOffice_russian" w:hAnsi="LindeDaxOffice_russian"/>
                <w:b/>
                <w:sz w:val="24"/>
                <w:szCs w:val="24"/>
                <w:lang w:val="en-US"/>
              </w:rPr>
              <w:t>E</w:t>
            </w:r>
            <w:r w:rsidR="008370D9" w:rsidRPr="008370D9">
              <w:rPr>
                <w:rFonts w:ascii="LindeDaxOffice_russian" w:hAnsi="LindeDaxOffice_russian"/>
                <w:sz w:val="24"/>
                <w:szCs w:val="24"/>
                <w:lang w:val="en-US"/>
              </w:rPr>
              <w:t>quipment</w:t>
            </w:r>
            <w:r w:rsidR="00837093" w:rsidRPr="0083709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 w:rsidR="008370D9" w:rsidRPr="008370D9">
              <w:rPr>
                <w:rFonts w:ascii="LindeDaxOffice_russian" w:hAnsi="LindeDaxOffice_russian"/>
                <w:b/>
                <w:sz w:val="24"/>
                <w:szCs w:val="24"/>
                <w:lang w:val="en-US"/>
              </w:rPr>
              <w:t>O</w:t>
            </w:r>
            <w:r w:rsidR="008370D9" w:rsidRPr="008370D9">
              <w:rPr>
                <w:rFonts w:ascii="LindeDaxOffice_russian" w:hAnsi="LindeDaxOffice_russian"/>
                <w:sz w:val="24"/>
                <w:szCs w:val="24"/>
                <w:lang w:val="en-US"/>
              </w:rPr>
              <w:t>perating</w:t>
            </w:r>
            <w:r w:rsidR="00837093" w:rsidRPr="0083709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 w:rsidR="008370D9" w:rsidRPr="008370D9">
              <w:rPr>
                <w:rFonts w:ascii="LindeDaxOffice_russian" w:hAnsi="LindeDaxOffice_russian"/>
                <w:b/>
                <w:sz w:val="24"/>
                <w:szCs w:val="24"/>
                <w:lang w:val="en-US"/>
              </w:rPr>
              <w:t>u</w:t>
            </w:r>
            <w:r w:rsidR="00837093">
              <w:rPr>
                <w:rFonts w:ascii="LindeDaxOffice_russian" w:hAnsi="LindeDaxOffice_russian"/>
                <w:sz w:val="24"/>
                <w:szCs w:val="24"/>
                <w:lang w:val="en-US"/>
              </w:rPr>
              <w:t>nder</w:t>
            </w:r>
            <w:r w:rsidR="00837093" w:rsidRPr="0083709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 w:rsidR="008370D9" w:rsidRPr="008370D9">
              <w:rPr>
                <w:rFonts w:ascii="LindeDaxOffice_russian" w:hAnsi="LindeDaxOffice_russian"/>
                <w:sz w:val="24"/>
                <w:szCs w:val="24"/>
                <w:lang w:val="en-US"/>
              </w:rPr>
              <w:lastRenderedPageBreak/>
              <w:t>Excess</w:t>
            </w:r>
            <w:r w:rsidR="00837093" w:rsidRPr="0083709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 w:rsidR="008370D9" w:rsidRPr="008370D9">
              <w:rPr>
                <w:rFonts w:ascii="LindeDaxOffice_russian" w:hAnsi="LindeDaxOffice_russian"/>
                <w:b/>
                <w:sz w:val="24"/>
                <w:szCs w:val="24"/>
                <w:lang w:val="en-US"/>
              </w:rPr>
              <w:t>P</w:t>
            </w:r>
            <w:r w:rsidR="008370D9" w:rsidRPr="008370D9">
              <w:rPr>
                <w:rFonts w:ascii="LindeDaxOffice_russian" w:hAnsi="LindeDaxOffice_russian"/>
                <w:sz w:val="24"/>
                <w:szCs w:val="24"/>
                <w:lang w:val="en-US"/>
              </w:rPr>
              <w:t>ressure</w:t>
            </w:r>
            <w:r w:rsidR="008370D9" w:rsidRPr="008370D9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  <w:lang w:val="en-US"/>
              </w:rPr>
              <w:t>"</w:t>
            </w:r>
            <w:r w:rsidR="00837093" w:rsidRPr="0083709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  <w:lang w:val="en-US"/>
              </w:rPr>
              <w:t>)</w:t>
            </w:r>
            <w:r w:rsidR="008370D9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 w:rsidR="00D075D4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law </w:t>
            </w:r>
            <w:r w:rsidR="00BF4E5D">
              <w:rPr>
                <w:rFonts w:ascii="LindeDaxOffice_russian" w:hAnsi="LindeDaxOffice_russian"/>
                <w:sz w:val="24"/>
                <w:szCs w:val="24"/>
                <w:lang w:val="en-US"/>
              </w:rPr>
              <w:t>№116</w:t>
            </w:r>
            <w:r w:rsidRPr="00481D6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, </w:t>
            </w:r>
            <w:r w:rsidR="00BF4E5D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which are </w:t>
            </w:r>
            <w:r w:rsidRPr="00481D63">
              <w:rPr>
                <w:rFonts w:ascii="LindeDaxOffice_russian" w:hAnsi="LindeDaxOffice_russian"/>
                <w:sz w:val="24"/>
                <w:szCs w:val="24"/>
                <w:lang w:val="en-US"/>
              </w:rPr>
              <w:t>subject to change.</w:t>
            </w:r>
          </w:p>
          <w:p w:rsidR="00837093" w:rsidRPr="001B058B" w:rsidRDefault="00837093" w:rsidP="00837093">
            <w:pPr>
              <w:pStyle w:val="a4"/>
              <w:tabs>
                <w:tab w:val="left" w:pos="3675"/>
              </w:tabs>
              <w:ind w:left="708"/>
              <w:jc w:val="both"/>
              <w:rPr>
                <w:rFonts w:ascii="LindeDaxOffice_russian" w:hAnsi="LindeDaxOffice_russian"/>
                <w:sz w:val="24"/>
                <w:szCs w:val="24"/>
                <w:lang w:val="en-US"/>
              </w:rPr>
            </w:pPr>
          </w:p>
          <w:p w:rsidR="00A24BBB" w:rsidRPr="00BF4E5D" w:rsidRDefault="00BF4E5D" w:rsidP="00837093">
            <w:pPr>
              <w:pStyle w:val="a4"/>
              <w:tabs>
                <w:tab w:val="left" w:pos="3675"/>
              </w:tabs>
              <w:ind w:left="708"/>
              <w:jc w:val="both"/>
              <w:rPr>
                <w:rFonts w:ascii="LindeDaxOffice_russian" w:hAnsi="LindeDaxOffice_russian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At present, the</w:t>
            </w:r>
            <w:r w:rsidR="00A24BBB" w:rsidRPr="00BF4E5D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draft letter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is </w:t>
            </w:r>
            <w:r w:rsidRPr="00BF4E5D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approved </w:t>
            </w:r>
            <w:r w:rsidR="00B4415E">
              <w:rPr>
                <w:rFonts w:ascii="LindeDaxOffice_russian" w:hAnsi="LindeDaxOffice_russian"/>
                <w:sz w:val="24"/>
                <w:szCs w:val="24"/>
                <w:lang w:val="en-US"/>
              </w:rPr>
              <w:t>by</w:t>
            </w:r>
            <w:r w:rsidR="005A5E72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members of the </w:t>
            </w:r>
            <w:proofErr w:type="gramStart"/>
            <w:r w:rsidR="005A5E72">
              <w:rPr>
                <w:rFonts w:ascii="LindeDaxOffice_russian" w:hAnsi="LindeDaxOffice_russian"/>
                <w:sz w:val="24"/>
                <w:szCs w:val="24"/>
                <w:lang w:val="en-US"/>
              </w:rPr>
              <w:t>G</w:t>
            </w:r>
            <w:r w:rsidR="00A24BBB" w:rsidRPr="00BF4E5D">
              <w:rPr>
                <w:rFonts w:ascii="LindeDaxOffice_russian" w:hAnsi="LindeDaxOffice_russian"/>
                <w:sz w:val="24"/>
                <w:szCs w:val="24"/>
                <w:lang w:val="en-US"/>
              </w:rPr>
              <w:t>roup,</w:t>
            </w:r>
            <w:proofErr w:type="gramEnd"/>
            <w:r w:rsidR="00A24BBB" w:rsidRPr="00BF4E5D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pr</w:t>
            </w:r>
            <w:r w:rsidR="00B4415E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oposals were submitted to </w:t>
            </w:r>
            <w:r w:rsidR="00227679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="00B4415E">
              <w:rPr>
                <w:rFonts w:ascii="LindeDaxOffice_russian" w:hAnsi="LindeDaxOffice_russian"/>
                <w:sz w:val="24"/>
                <w:szCs w:val="24"/>
                <w:lang w:val="en-US"/>
              </w:rPr>
              <w:t>Rostec</w:t>
            </w:r>
            <w:r w:rsidR="00A24BBB" w:rsidRPr="00BF4E5D">
              <w:rPr>
                <w:rFonts w:ascii="LindeDaxOffice_russian" w:hAnsi="LindeDaxOffice_russian"/>
                <w:sz w:val="24"/>
                <w:szCs w:val="24"/>
                <w:lang w:val="en-US"/>
              </w:rPr>
              <w:t>hnadzor</w:t>
            </w:r>
            <w:proofErr w:type="spellEnd"/>
            <w:r w:rsidR="00A24BBB" w:rsidRPr="00BF4E5D">
              <w:rPr>
                <w:rFonts w:ascii="LindeDaxOffice_russian" w:hAnsi="LindeDaxOffice_russian"/>
                <w:sz w:val="24"/>
                <w:szCs w:val="24"/>
                <w:lang w:val="en-US"/>
              </w:rPr>
              <w:t>, at</w:t>
            </w:r>
            <w:r w:rsidR="00B4415E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the stage of discussing </w:t>
            </w:r>
            <w:r w:rsidR="0072051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of </w:t>
            </w:r>
            <w:r w:rsidR="00B4415E">
              <w:rPr>
                <w:rFonts w:ascii="LindeDaxOffice_russian" w:hAnsi="LindeDaxOffice_russian"/>
                <w:sz w:val="24"/>
                <w:szCs w:val="24"/>
                <w:lang w:val="en-US"/>
              </w:rPr>
              <w:t>the FNR ORPD</w:t>
            </w:r>
            <w:r w:rsidR="00A24BBB" w:rsidRPr="00BF4E5D">
              <w:rPr>
                <w:rFonts w:ascii="LindeDaxOffice_russian" w:hAnsi="LindeDaxOffice_russian"/>
                <w:sz w:val="24"/>
                <w:szCs w:val="24"/>
                <w:lang w:val="en-US"/>
              </w:rPr>
              <w:t>.</w:t>
            </w:r>
          </w:p>
          <w:p w:rsidR="00A24BBB" w:rsidRPr="002C4DD6" w:rsidRDefault="00A24BBB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24BBB" w:rsidRPr="00302B46" w:rsidRDefault="00A24BBB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/>
                <w:b/>
                <w:sz w:val="24"/>
                <w:szCs w:val="24"/>
                <w:lang w:val="en-US"/>
              </w:rPr>
            </w:pPr>
            <w:r w:rsidRPr="00302B46">
              <w:rPr>
                <w:rFonts w:ascii="LindeDaxOffice_russian" w:hAnsi="LindeDaxOffice_russian"/>
                <w:b/>
                <w:sz w:val="24"/>
                <w:szCs w:val="24"/>
                <w:lang w:val="en-US"/>
              </w:rPr>
              <w:t>Next steps:</w:t>
            </w:r>
          </w:p>
          <w:p w:rsidR="00B635E4" w:rsidRPr="00837093" w:rsidRDefault="00302B46" w:rsidP="00837093">
            <w:pPr>
              <w:pStyle w:val="a4"/>
              <w:tabs>
                <w:tab w:val="left" w:pos="3675"/>
              </w:tabs>
              <w:ind w:left="708"/>
              <w:jc w:val="both"/>
              <w:rPr>
                <w:rFonts w:ascii="LindeDaxOffice_russian" w:hAnsi="LindeDaxOffice_russian"/>
                <w:sz w:val="24"/>
                <w:szCs w:val="24"/>
                <w:lang w:val="en-US"/>
              </w:rPr>
            </w:pPr>
            <w:r w:rsidRPr="00302B4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Each member of the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G</w:t>
            </w:r>
            <w:r w:rsidR="00A24BBB" w:rsidRPr="00302B46">
              <w:rPr>
                <w:rFonts w:ascii="LindeDaxOffice_russian" w:hAnsi="LindeDaxOffice_russian"/>
                <w:sz w:val="24"/>
                <w:szCs w:val="24"/>
                <w:lang w:val="en-US"/>
              </w:rPr>
              <w:t>roup prepar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es a version of transfer</w:t>
            </w:r>
            <w:r w:rsidR="00A24BBB" w:rsidRPr="00302B4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f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rom the existing </w:t>
            </w:r>
            <w:r w:rsidR="00A24BBB" w:rsidRPr="00302B46">
              <w:rPr>
                <w:rFonts w:ascii="LindeDaxOffice_russian" w:hAnsi="LindeDaxOffice_russian"/>
                <w:sz w:val="24"/>
                <w:szCs w:val="24"/>
                <w:lang w:val="en-US"/>
              </w:rPr>
              <w:t>model of wo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rk (with impersonal cylinders</w:t>
            </w:r>
            <w:r w:rsidR="00A24BBB" w:rsidRPr="00302B4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) to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the </w:t>
            </w:r>
            <w:r w:rsidR="00A24BBB" w:rsidRPr="00302B46">
              <w:rPr>
                <w:rFonts w:ascii="LindeDaxOffice_russian" w:hAnsi="LindeDaxOffice_russian"/>
                <w:sz w:val="24"/>
                <w:szCs w:val="24"/>
                <w:lang w:val="en-US"/>
              </w:rPr>
              <w:t>model</w:t>
            </w:r>
            <w:r w:rsidR="005A5E72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of</w:t>
            </w:r>
            <w:r w:rsidR="00A24BBB" w:rsidRPr="00302B4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“</w:t>
            </w:r>
            <w:r w:rsidR="005A5E72" w:rsidRPr="00302B4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the </w:t>
            </w:r>
            <w:r w:rsidR="00A24BBB" w:rsidRPr="00302B46">
              <w:rPr>
                <w:rFonts w:ascii="LindeDaxOffice_russian" w:hAnsi="LindeDaxOffice_russian"/>
                <w:sz w:val="24"/>
                <w:szCs w:val="24"/>
                <w:lang w:val="en-US"/>
              </w:rPr>
              <w:t>owner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of cylinders”</w:t>
            </w:r>
            <w:proofErr w:type="gramStart"/>
            <w:r w:rsidR="00A24BBB" w:rsidRPr="00302B46">
              <w:rPr>
                <w:rFonts w:ascii="LindeDaxOffice_russian" w:hAnsi="LindeDaxOffice_russian"/>
                <w:sz w:val="24"/>
                <w:szCs w:val="24"/>
                <w:lang w:val="en-US"/>
              </w:rPr>
              <w:t>,</w:t>
            </w:r>
            <w:proofErr w:type="gramEnd"/>
            <w:r w:rsidR="00A24BBB" w:rsidRPr="00302B4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after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wards</w:t>
            </w:r>
            <w:r w:rsidR="00A24BBB" w:rsidRPr="00302B4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 w:rsidRPr="00302B4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a common position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of </w:t>
            </w:r>
            <w:r w:rsidR="005A5E72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the </w:t>
            </w:r>
            <w:r w:rsidR="0088718F">
              <w:rPr>
                <w:rFonts w:ascii="LindeDaxOffice_russian" w:hAnsi="LindeDaxOffice_russian"/>
                <w:sz w:val="24"/>
                <w:szCs w:val="24"/>
                <w:lang w:val="en-US"/>
              </w:rPr>
              <w:t>APIMG</w:t>
            </w:r>
            <w:r w:rsidR="00A24BBB" w:rsidRPr="00302B4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will be worked out.</w:t>
            </w:r>
          </w:p>
          <w:p w:rsidR="00F53D6F" w:rsidRPr="00F53D6F" w:rsidRDefault="00561987" w:rsidP="00837093">
            <w:pPr>
              <w:pStyle w:val="a4"/>
              <w:tabs>
                <w:tab w:val="left" w:pos="3675"/>
              </w:tabs>
              <w:ind w:left="708"/>
              <w:jc w:val="both"/>
              <w:rPr>
                <w:rFonts w:ascii="LindeDaxOffice_russian" w:hAnsi="LindeDaxOffice_russian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A</w:t>
            </w:r>
            <w:r w:rsidRPr="00F53D6F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eeting with representatives of R</w:t>
            </w:r>
            <w:r w:rsidRPr="00F53D6F">
              <w:rPr>
                <w:rFonts w:ascii="LindeDaxOffice_russian" w:hAnsi="LindeDaxOffice_russian"/>
                <w:sz w:val="24"/>
                <w:szCs w:val="24"/>
                <w:lang w:val="en-US"/>
              </w:rPr>
              <w:t>TH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should be </w:t>
            </w:r>
            <w:r w:rsidR="00F53D6F">
              <w:rPr>
                <w:rFonts w:ascii="LindeDaxOffice_russian" w:hAnsi="LindeDaxOffice_russian"/>
                <w:sz w:val="24"/>
                <w:szCs w:val="24"/>
                <w:lang w:val="en-US"/>
              </w:rPr>
              <w:t>a</w:t>
            </w:r>
            <w:r w:rsidR="00F53D6F" w:rsidRPr="00F53D6F">
              <w:rPr>
                <w:rFonts w:ascii="LindeDaxOffice_russian" w:hAnsi="LindeDaxOffice_russian"/>
                <w:sz w:val="24"/>
                <w:szCs w:val="24"/>
                <w:lang w:val="en-US"/>
              </w:rPr>
              <w:t>rrange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d</w:t>
            </w:r>
            <w:r w:rsidR="00F53D6F" w:rsidRPr="00F53D6F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during which a unified position of the APIMG</w:t>
            </w:r>
            <w:r w:rsidRPr="00F53D6F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on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the cylinder </w:t>
            </w:r>
            <w:r w:rsidRPr="00F53D6F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ownership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should be </w:t>
            </w:r>
            <w:r w:rsidR="00F53D6F" w:rsidRPr="00F53D6F">
              <w:rPr>
                <w:rFonts w:ascii="LindeDaxOffice_russian" w:hAnsi="LindeDaxOffice_russian"/>
                <w:sz w:val="24"/>
                <w:szCs w:val="24"/>
                <w:lang w:val="en-US"/>
              </w:rPr>
              <w:t>d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emonstrated</w:t>
            </w:r>
            <w:r w:rsidR="00F53D6F" w:rsidRPr="00F53D6F">
              <w:rPr>
                <w:rFonts w:ascii="LindeDaxOffice_russian" w:hAnsi="LindeDaxOffice_russian"/>
                <w:sz w:val="24"/>
                <w:szCs w:val="24"/>
                <w:lang w:val="en-US"/>
              </w:rPr>
              <w:t>.</w:t>
            </w:r>
          </w:p>
          <w:p w:rsidR="00F53D6F" w:rsidRPr="00F53D6F" w:rsidRDefault="00561987" w:rsidP="00837093">
            <w:pPr>
              <w:pStyle w:val="a4"/>
              <w:tabs>
                <w:tab w:val="left" w:pos="3675"/>
              </w:tabs>
              <w:ind w:left="708"/>
              <w:jc w:val="both"/>
              <w:rPr>
                <w:rFonts w:ascii="LindeDaxOffice_russian" w:hAnsi="LindeDaxOffice_russian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A u</w:t>
            </w:r>
            <w:r w:rsidRPr="00F53D6F">
              <w:rPr>
                <w:rFonts w:ascii="LindeDaxOffice_russian" w:hAnsi="LindeDaxOffice_russian"/>
                <w:sz w:val="24"/>
                <w:szCs w:val="24"/>
                <w:lang w:val="en-US"/>
              </w:rPr>
              <w:t>nified position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of the APIMG should be</w:t>
            </w:r>
            <w:r w:rsidR="00F53D6F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forward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ed</w:t>
            </w:r>
            <w:r w:rsidR="00F53D6F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 w:rsidR="00F53D6F" w:rsidRPr="00F53D6F">
              <w:rPr>
                <w:rFonts w:ascii="LindeDaxOffice_russian" w:hAnsi="LindeDaxOffice_russian"/>
                <w:sz w:val="24"/>
                <w:szCs w:val="24"/>
                <w:lang w:val="en-US"/>
              </w:rPr>
              <w:t>to</w:t>
            </w:r>
            <w:r w:rsidR="00F53D6F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the R</w:t>
            </w:r>
            <w:r w:rsidR="00F53D6F" w:rsidRPr="00F53D6F">
              <w:rPr>
                <w:rFonts w:ascii="LindeDaxOffice_russian" w:hAnsi="LindeDaxOffice_russian"/>
                <w:sz w:val="24"/>
                <w:szCs w:val="24"/>
                <w:lang w:val="en-US"/>
              </w:rPr>
              <w:t>TH.</w:t>
            </w:r>
          </w:p>
          <w:p w:rsidR="00B635E4" w:rsidRPr="00C947B6" w:rsidRDefault="00B635E4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24BBB" w:rsidRPr="00C27569" w:rsidRDefault="00302B46" w:rsidP="00837093">
            <w:p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ab/>
            </w:r>
            <w:r w:rsidR="00A24BBB" w:rsidRPr="00C27569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3. </w:t>
            </w:r>
            <w:r w:rsidR="00C27569" w:rsidRPr="00C27569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A standard </w:t>
            </w:r>
            <w:r w:rsidR="00C27569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cylinder</w:t>
            </w:r>
            <w:r w:rsidR="00A24BBB" w:rsidRPr="00C27569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 of 50 l</w:t>
            </w:r>
            <w:r w:rsidR="00227679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,</w:t>
            </w:r>
            <w:r w:rsidR="00A24BBB" w:rsidRPr="00C27569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 200</w:t>
            </w:r>
            <w:r w:rsidR="00372396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A24BBB" w:rsidRPr="00C27569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bar</w:t>
            </w:r>
            <w:r w:rsidR="00561987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s</w:t>
            </w:r>
          </w:p>
          <w:p w:rsidR="00372396" w:rsidRDefault="00372396" w:rsidP="00837093">
            <w:pPr>
              <w:pStyle w:val="a4"/>
              <w:tabs>
                <w:tab w:val="left" w:pos="3675"/>
              </w:tabs>
              <w:ind w:left="708"/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24BBB" w:rsidRDefault="009740A9" w:rsidP="00837093">
            <w:pPr>
              <w:pStyle w:val="a4"/>
              <w:tabs>
                <w:tab w:val="left" w:pos="3675"/>
              </w:tabs>
              <w:ind w:left="708"/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When discussi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n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g the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experience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of work 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with </w:t>
            </w:r>
            <w:r w:rsid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cylinder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 manufactured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in accordance with GOST-949, it was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pointed out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that these cylinders are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morally 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obsolete and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significantly </w:t>
            </w:r>
            <w:r w:rsidR="005A5E7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concede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5A5E7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to cylinders, manufactured in accordance with</w:t>
            </w:r>
            <w:r w:rsidR="005A5E72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ISO-9809</w:t>
            </w:r>
            <w:r w:rsidR="005A5E7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in their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technical an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d operational characteristics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</w:p>
          <w:p w:rsidR="005A5E72" w:rsidRPr="002C4DD6" w:rsidRDefault="005A5E72" w:rsidP="00837093">
            <w:pPr>
              <w:pStyle w:val="a4"/>
              <w:tabs>
                <w:tab w:val="left" w:pos="3675"/>
              </w:tabs>
              <w:ind w:left="708"/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B635E4" w:rsidRPr="002C4DD6" w:rsidRDefault="005A5E72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With the purpose</w:t>
            </w:r>
            <w:r w:rsidR="00DC2CA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to make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DC2CA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 modern and safe cylinder</w:t>
            </w:r>
            <w:r w:rsidR="00DC2CAD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in</w:t>
            </w:r>
            <w:r w:rsidR="00DC2CA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the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Russia</w:t>
            </w:r>
            <w:r w:rsidR="00DC2CA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n Federation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 it</w:t>
            </w:r>
            <w:r w:rsidR="00DC2CA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was</w:t>
            </w:r>
            <w:r w:rsidR="00227679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proposed to collect all requirements</w:t>
            </w:r>
            <w:r w:rsidR="00DC2CA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of</w:t>
            </w:r>
            <w:r w:rsidR="00D075D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227679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 w:rsidR="00D075D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participants to the cylinder</w:t>
            </w:r>
            <w:r w:rsidR="00DC2CA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 which would satisfy all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DC2CAD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requirem</w:t>
            </w:r>
            <w:r w:rsidR="00DC2CA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ents</w:t>
            </w:r>
            <w:r w:rsidR="00DC2CAD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of </w:t>
            </w:r>
            <w:r w:rsidR="0056198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gas producer</w:t>
            </w:r>
            <w:r w:rsidR="00D075D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s, be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safe and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DC2CA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at the same time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</w:t>
            </w:r>
            <w:r w:rsidR="00D075D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CC3EE2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be cost-effective</w:t>
            </w:r>
            <w:r w:rsidR="00CC3EE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in its use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</w:p>
          <w:p w:rsidR="00A24BBB" w:rsidRPr="002C4DD6" w:rsidRDefault="00A24BBB" w:rsidP="00837093">
            <w:pPr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24BBB" w:rsidRDefault="00A24BBB" w:rsidP="00837093">
            <w:pPr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45FCA" w:rsidRDefault="00A45FCA" w:rsidP="00837093">
            <w:pPr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24BBB" w:rsidRPr="002C4DD6" w:rsidRDefault="00D075D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In the end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 a let</w:t>
            </w:r>
            <w:r w:rsidR="00F72B0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ter was prepared on behalf of </w:t>
            </w:r>
            <w:r w:rsidR="00CC3EE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 w:rsidR="0088718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APIMG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227679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(№4 dated</w:t>
            </w:r>
            <w:r w:rsidR="00F72B0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07.12.2015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), addressed to JSC "PNTZ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 and JSC "Orsk Machine-Building Plant"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(“</w:t>
            </w:r>
            <w:proofErr w:type="spellStart"/>
            <w:r w:rsidR="00B7320C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OrskMZ</w:t>
            </w:r>
            <w:proofErr w:type="spellEnd"/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”)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(main producers of cylinders in Russia), </w:t>
            </w:r>
            <w:r w:rsidR="00CC3EE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in </w:t>
            </w:r>
            <w:r w:rsidR="00CC3EE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the text of this letter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requirements to a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universal cylinder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with the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working volume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of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50 liters and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CC3EE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working pressure of 200 bar</w:t>
            </w:r>
            <w:r w:rsidR="0056198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CC3EE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were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formulate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d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</w:p>
          <w:p w:rsidR="00A24BBB" w:rsidRPr="002C4DD6" w:rsidRDefault="00A24BBB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24BBB" w:rsidRPr="002C4DD6" w:rsidRDefault="00D075D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As a result, an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official response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was received from JSC "</w:t>
            </w:r>
            <w:proofErr w:type="spellStart"/>
            <w:r w:rsidR="00B7320C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OrskMZ</w:t>
            </w:r>
            <w:proofErr w:type="spellEnd"/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» (№53/160GB of</w:t>
            </w:r>
            <w:r w:rsidR="00CC3EE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26.02.2016), confirming the possibility</w:t>
            </w:r>
            <w:r w:rsidR="00160CA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to manufacture a cylinder</w:t>
            </w:r>
            <w:r w:rsidR="00CC3EE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close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to r</w:t>
            </w:r>
            <w:r w:rsidR="00160CA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equested specifications of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50 lit</w:t>
            </w:r>
            <w:r w:rsidR="00CC3EE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er</w:t>
            </w:r>
            <w:r w:rsidR="00227679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</w:t>
            </w:r>
            <w:r w:rsidR="00CC3EE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200 bar</w:t>
            </w:r>
            <w:r w:rsidR="0056198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</w:t>
            </w:r>
            <w:r w:rsidR="00CC3EE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and the possibility to certify it afterwards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160CA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according to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ISO 9809-1 standard.</w:t>
            </w:r>
          </w:p>
          <w:p w:rsidR="00A24BBB" w:rsidRPr="002C4DD6" w:rsidRDefault="00A24BBB" w:rsidP="00837093">
            <w:pPr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24BBB" w:rsidRPr="002C4DD6" w:rsidRDefault="007F42DB" w:rsidP="00837093">
            <w:pPr>
              <w:pStyle w:val="a4"/>
              <w:tabs>
                <w:tab w:val="left" w:pos="3675"/>
              </w:tabs>
              <w:ind w:left="708"/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An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official response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from JSC "PNTZ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" to the </w:t>
            </w:r>
            <w:r w:rsidR="0088718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APIMG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letter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w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as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not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received, but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at the International Conference "Gas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cylinders and valves 2016" of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March 2, 2016 </w:t>
            </w:r>
            <w:proofErr w:type="spellStart"/>
            <w:r w:rsidR="00CC3EE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S.</w:t>
            </w:r>
            <w:r w:rsidR="00CC3EE2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Shlevis</w:t>
            </w:r>
            <w:proofErr w:type="spellEnd"/>
            <w:r w:rsidR="00CC3EE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chief of the cylinder production shop of JSC “PNTZ”</w:t>
            </w:r>
            <w:r w:rsidR="0021025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noted in his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speech</w:t>
            </w:r>
            <w:r w:rsidR="00CC3EE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tha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 the </w:t>
            </w:r>
            <w:r w:rsidR="0021025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industrial preparedness</w:t>
            </w:r>
            <w:r w:rsidR="00CC3EE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to transfer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to a new type of </w:t>
            </w:r>
            <w:r w:rsidR="00D075D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cylinder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 depends on the guaranteed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and </w:t>
            </w:r>
            <w:r w:rsidR="00CC3EE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substantial demand for the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cylinder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</w:p>
          <w:p w:rsidR="00A24BBB" w:rsidRDefault="00A24BBB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736224" w:rsidRPr="002C4DD6" w:rsidRDefault="0073622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24BBB" w:rsidRPr="002C4DD6" w:rsidRDefault="00A24BBB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  <w:t>Next steps:</w:t>
            </w:r>
          </w:p>
          <w:p w:rsidR="00A24BBB" w:rsidRPr="00837093" w:rsidRDefault="007F42DB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To c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ontinue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close contacts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of the Group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with JSC "</w:t>
            </w:r>
            <w:proofErr w:type="spellStart"/>
            <w:r w:rsidR="00B7320C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OrskMZ</w:t>
            </w:r>
            <w:proofErr w:type="spellEnd"/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</w:t>
            </w:r>
            <w:r w:rsidR="0021025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so as 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th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e </w:t>
            </w:r>
            <w:r w:rsidR="0021025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enterpri</w:t>
            </w:r>
            <w:r w:rsidR="00D84F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se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would be able to complete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certify the modern domestic cylinder of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50 liters, 200 bar</w:t>
            </w:r>
            <w:r w:rsidR="002129D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</w:t>
            </w:r>
            <w:r w:rsidR="00A24BBB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</w:p>
          <w:p w:rsidR="00F53D6F" w:rsidRPr="00F53D6F" w:rsidRDefault="001F7F5F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To s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end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 follow-up letter to JSC "PNTZ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", addressed to the General Director,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with a request 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to provide a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reply 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to </w:t>
            </w:r>
            <w:r w:rsidR="002129D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 w:rsidR="0056198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APIMG</w:t>
            </w:r>
            <w:r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letter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№4 dated 12.07.2015.</w:t>
            </w:r>
          </w:p>
          <w:p w:rsidR="00321D53" w:rsidRPr="00C947B6" w:rsidRDefault="00321D53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321D53" w:rsidRPr="002C4DD6" w:rsidRDefault="00321D53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4. </w:t>
            </w:r>
            <w:r w:rsidR="00D84FC4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Issues of</w:t>
            </w:r>
            <w:r w:rsidR="00227679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21025F" w:rsidRPr="002C4DD6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new standards</w:t>
            </w:r>
            <w:r w:rsidR="0021025F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’</w:t>
            </w:r>
            <w:r w:rsidR="0021025F" w:rsidRPr="002C4DD6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21025F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development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321D53" w:rsidRPr="002C4DD6" w:rsidRDefault="00321D53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321D53" w:rsidRDefault="00227679" w:rsidP="00837093">
            <w:pPr>
              <w:pStyle w:val="a4"/>
              <w:tabs>
                <w:tab w:val="left" w:pos="3675"/>
              </w:tabs>
              <w:ind w:left="708"/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One of </w:t>
            </w:r>
            <w:r w:rsidR="00321D53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main</w:t>
            </w:r>
            <w:r w:rsidR="00D84F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issues in 2015 was the issue of the "operating life</w:t>
            </w:r>
            <w:r w:rsidR="00321D53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" of cylinders, which </w:t>
            </w:r>
            <w:r w:rsidR="00D84F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is defined a</w:t>
            </w:r>
            <w:r w:rsidR="00321D53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s </w:t>
            </w:r>
            <w:r w:rsidR="00D84FC4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20 years </w:t>
            </w:r>
            <w:r w:rsidR="00D84F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in the new FNR</w:t>
            </w:r>
            <w:r w:rsidR="00321D53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-116 (unless otherwise </w:t>
            </w:r>
            <w:r w:rsidR="008A2F8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is specified by </w:t>
            </w:r>
            <w:r w:rsidR="00D84F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producers</w:t>
            </w:r>
            <w:r w:rsidR="00321D53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of cylinders).</w:t>
            </w:r>
          </w:p>
          <w:p w:rsidR="00D84FC4" w:rsidRPr="002C4DD6" w:rsidRDefault="00D84FC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321D53" w:rsidRDefault="00321D53" w:rsidP="00837093">
            <w:pPr>
              <w:pStyle w:val="a4"/>
              <w:tabs>
                <w:tab w:val="left" w:pos="3675"/>
              </w:tabs>
              <w:ind w:left="708"/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As a result</w:t>
            </w:r>
            <w:r w:rsidR="0002159B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of numerous requests to the RTN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and after meeting</w:t>
            </w:r>
            <w:r w:rsidR="00227679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with representatives of</w:t>
            </w:r>
            <w:r w:rsidR="0002159B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JSC "</w:t>
            </w:r>
            <w:proofErr w:type="spellStart"/>
            <w:r w:rsidR="0002159B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RosNITI</w:t>
            </w:r>
            <w:proofErr w:type="spellEnd"/>
            <w:r w:rsidR="0002159B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"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in Chelyabinsk</w:t>
            </w:r>
            <w:r w:rsidR="002129D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02159B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we managed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to work out a common position on the </w:t>
            </w:r>
            <w:r w:rsidR="0002159B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operating life of cylinders, manufactured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in accordance with GOST 949-73, </w:t>
            </w:r>
            <w:r w:rsidR="0002159B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namely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:</w:t>
            </w:r>
          </w:p>
          <w:p w:rsidR="008A2F85" w:rsidRDefault="008A2F8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321D53" w:rsidRPr="002C4DD6" w:rsidRDefault="005E5663" w:rsidP="00837093">
            <w:pPr>
              <w:pStyle w:val="a4"/>
              <w:tabs>
                <w:tab w:val="left" w:pos="3675"/>
              </w:tabs>
              <w:ind w:left="708"/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On the basis of </w:t>
            </w:r>
            <w:r w:rsidR="008A2F8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submitted </w:t>
            </w:r>
            <w:r w:rsidR="008A2F85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letters</w:t>
            </w:r>
            <w:r w:rsidR="008A2F8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of JSC "</w:t>
            </w:r>
            <w:proofErr w:type="spellStart"/>
            <w:r w:rsidR="008A2F8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RosNITI</w:t>
            </w:r>
            <w:proofErr w:type="spellEnd"/>
            <w:r w:rsidR="008A2F8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 №23/451 dated 10.02.2015, the</w:t>
            </w:r>
            <w:r w:rsidR="00321D53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Federal Service for Ecological, Technological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and Nuclear Supervision (</w:t>
            </w:r>
            <w:proofErr w:type="spellStart"/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Rostechnadzor</w:t>
            </w:r>
            <w:proofErr w:type="spellEnd"/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) №09-03-05</w:t>
            </w:r>
            <w:r w:rsidR="008A2F8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/1221 dated 11.03.2015</w:t>
            </w:r>
            <w:r w:rsidR="00321D53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and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JSC </w:t>
            </w:r>
            <w:r w:rsidR="00321D53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</w:t>
            </w:r>
            <w:proofErr w:type="spellStart"/>
            <w:r w:rsidR="00321D53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osNITI</w:t>
            </w:r>
            <w:proofErr w:type="spellEnd"/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 №23</w:t>
            </w:r>
            <w:r w:rsidR="008A2F8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/1388 dated</w:t>
            </w:r>
            <w:r w:rsidR="00321D53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15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.04.</w:t>
            </w:r>
            <w:r w:rsidR="00321D53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2015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, </w:t>
            </w:r>
            <w:r w:rsidR="00321D53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operating</w:t>
            </w:r>
            <w:r w:rsidR="00321D53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life of cylinders (intended for filling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with </w:t>
            </w:r>
            <w:r w:rsidR="00321D53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gases,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causing destruction and physical and </w:t>
            </w:r>
            <w:r w:rsidR="00321D53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chemical conversion of the material at</w:t>
            </w:r>
            <w:r w:rsidR="00227679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rate of not more than 0.1 mm</w:t>
            </w:r>
            <w:r w:rsidR="00321D53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/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year), manufacture</w:t>
            </w:r>
            <w:r w:rsidR="008A2F8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d</w:t>
            </w:r>
            <w:r w:rsidR="00321D53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accord</w:t>
            </w:r>
            <w:r w:rsidR="008A2F8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ing to GOST 949-73, can be accepted</w:t>
            </w:r>
            <w:r w:rsidR="00321D53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as 40 years.</w:t>
            </w:r>
          </w:p>
          <w:p w:rsidR="005165C4" w:rsidRDefault="005165C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736224" w:rsidRDefault="0073622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321D53" w:rsidRPr="005165C4" w:rsidRDefault="00A779BF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On 26.01.</w:t>
            </w:r>
            <w:r w:rsidR="0084170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2016 there was a meeting of section No.</w:t>
            </w:r>
            <w:r w:rsidR="00321D53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4 "</w:t>
            </w:r>
            <w:r w:rsidR="00227679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</w:t>
            </w:r>
            <w:r w:rsidR="00321D53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mprovement of </w:t>
            </w:r>
            <w:r w:rsidR="008A2F8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 w:rsidR="00321D53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boiler inspection, </w:t>
            </w:r>
            <w:r w:rsidR="008A2F8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 w:rsidR="00321D53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supervision of</w:t>
            </w:r>
            <w:r w:rsidR="0084170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lifting devices and the State construction s</w:t>
            </w:r>
            <w:r w:rsidR="00321D53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upervision" </w:t>
            </w:r>
            <w:r w:rsidR="0084170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of the </w:t>
            </w:r>
            <w:r w:rsidR="00841702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Scientific and Technical Council </w:t>
            </w:r>
            <w:r w:rsidR="0084170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of </w:t>
            </w:r>
            <w:r w:rsidR="00B07AE3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proofErr w:type="spellStart"/>
            <w:r w:rsidR="008A2F8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Rostec</w:t>
            </w:r>
            <w:r w:rsidR="00321D53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hnadzor</w:t>
            </w:r>
            <w:proofErr w:type="spellEnd"/>
            <w:r w:rsidR="00321D53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, which reviewed proposals for </w:t>
            </w:r>
            <w:r w:rsidR="0084170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inserting </w:t>
            </w:r>
            <w:r w:rsidR="00321D53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changes </w:t>
            </w:r>
            <w:r w:rsidR="0084170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into the F</w:t>
            </w:r>
            <w:r w:rsidR="00321D53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ederal</w:t>
            </w:r>
            <w:r w:rsidR="0084170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norms and rules</w:t>
            </w:r>
            <w:r w:rsidR="00321D53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in the field of industrial safety "</w:t>
            </w:r>
            <w:r w:rsidR="00841702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Rules of industrial safety for </w:t>
            </w:r>
            <w:r w:rsidR="00841702" w:rsidRPr="00481D63">
              <w:rPr>
                <w:rFonts w:ascii="LindeDaxOffice_russian" w:hAnsi="LindeDaxOffice_russian"/>
                <w:sz w:val="24"/>
                <w:szCs w:val="24"/>
                <w:lang w:val="en-US"/>
              </w:rPr>
              <w:t>hazardous industrial facili</w:t>
            </w:r>
            <w:r w:rsidR="00841702">
              <w:rPr>
                <w:rFonts w:ascii="LindeDaxOffice_russian" w:hAnsi="LindeDaxOffice_russian"/>
                <w:sz w:val="24"/>
                <w:szCs w:val="24"/>
                <w:lang w:val="en-US"/>
              </w:rPr>
              <w:t>ties, using the</w:t>
            </w:r>
            <w:r w:rsidR="00841702" w:rsidRPr="00481D6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equipment operating under </w:t>
            </w:r>
            <w:r w:rsidR="00841702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excessive </w:t>
            </w:r>
            <w:r w:rsidR="00841702" w:rsidRPr="00481D63">
              <w:rPr>
                <w:rFonts w:ascii="LindeDaxOffice_russian" w:hAnsi="LindeDaxOffice_russian"/>
                <w:sz w:val="24"/>
                <w:szCs w:val="24"/>
                <w:lang w:val="en-US"/>
              </w:rPr>
              <w:t>pressure</w:t>
            </w:r>
            <w:r w:rsidR="00321D53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</w:t>
            </w:r>
            <w:r w:rsidR="0084170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(hereinafter - the FNR EOUP</w:t>
            </w:r>
            <w:r w:rsidR="00321D53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).</w:t>
            </w:r>
          </w:p>
          <w:p w:rsidR="005165C4" w:rsidRPr="005165C4" w:rsidRDefault="005165C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165C4" w:rsidRDefault="005165C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227679" w:rsidRPr="005165C4" w:rsidRDefault="00227679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165C4" w:rsidRPr="002C4DD6" w:rsidRDefault="00841702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epresentatives of the largest thermal power companies, scientific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and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research, expert and other organizations, as </w:t>
            </w:r>
            <w:r w:rsidR="0047344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well as representatives of the </w:t>
            </w:r>
            <w:r w:rsidR="0088718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APIMG</w:t>
            </w:r>
            <w:r w:rsidR="0047344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W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orking group</w:t>
            </w:r>
            <w:r w:rsidR="0047344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"Gas cylinders" </w:t>
            </w:r>
            <w:r w:rsidR="0047344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took part in t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he work of </w:t>
            </w:r>
            <w:r w:rsidR="0047344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section No.</w:t>
            </w:r>
            <w:r w:rsidR="005165C4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4</w:t>
            </w:r>
            <w:r w:rsidR="0047344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  <w:r w:rsidR="005165C4"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</w:p>
          <w:p w:rsidR="005165C4" w:rsidRPr="002C4DD6" w:rsidRDefault="005165C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165C4" w:rsidRPr="005165C4" w:rsidRDefault="00473448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 solution on the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range of issues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, which should be regulated by inserting 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changes in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to the FNR EOUP</w:t>
            </w:r>
            <w:r w:rsidR="00F2065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was elaborated during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he meeting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</w:p>
          <w:p w:rsidR="005165C4" w:rsidRPr="005165C4" w:rsidRDefault="005165C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165C4" w:rsidRPr="005165C4" w:rsidRDefault="005165C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As a result of the </w:t>
            </w:r>
            <w:r w:rsidR="00C52C9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limited period for submitting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propos</w:t>
            </w:r>
            <w:r w:rsidR="00C52C9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als, it was decided to submit 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recommendation</w:t>
            </w:r>
            <w:r w:rsidR="00C52C9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</w:t>
            </w:r>
            <w:r w:rsidR="00F2065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to draft amendments,</w:t>
            </w:r>
            <w:r w:rsidR="00C52C9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presented to </w:t>
            </w:r>
            <w:r w:rsidR="00F2065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 w:rsidR="00C52C9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FNR EOUP from 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each </w:t>
            </w:r>
            <w:r w:rsidR="00F20658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part</w:t>
            </w:r>
            <w:r w:rsidR="00F2065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icipant of the </w:t>
            </w:r>
            <w:r w:rsidR="0088718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APIMG</w:t>
            </w:r>
            <w:r w:rsidR="00C52C9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separately. R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ecommendations</w:t>
            </w:r>
            <w:r w:rsidR="00C52C9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were</w:t>
            </w:r>
            <w:r w:rsidR="00F2065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successfully uploaded to the site </w:t>
            </w:r>
            <w:hyperlink r:id="rId10" w:history="1">
              <w:r w:rsidRPr="00F40D71">
                <w:rPr>
                  <w:rStyle w:val="a6"/>
                  <w:rFonts w:ascii="LindeDaxOffice_russian" w:hAnsi="LindeDaxOffice_russian" w:cs="Arial"/>
                  <w:sz w:val="24"/>
                  <w:szCs w:val="24"/>
                  <w:lang w:val="en-US"/>
                </w:rPr>
                <w:t>www.regulation.gov.ru</w:t>
              </w:r>
            </w:hyperlink>
          </w:p>
          <w:p w:rsidR="005165C4" w:rsidRDefault="005165C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165C4" w:rsidRPr="002C4DD6" w:rsidRDefault="005165C4" w:rsidP="00837093">
            <w:pPr>
              <w:pStyle w:val="a4"/>
              <w:tabs>
                <w:tab w:val="left" w:pos="3675"/>
              </w:tabs>
              <w:ind w:left="708"/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On the basis of recommendations</w:t>
            </w:r>
            <w:r w:rsidR="00C52C9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received, the RTN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developed</w:t>
            </w:r>
            <w:r w:rsidR="00F2065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the</w:t>
            </w:r>
            <w:r w:rsidR="00C52C9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draft "On amendments to the F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ederal </w:t>
            </w:r>
            <w:r w:rsidR="00C52C9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norms and 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rules in the field of industrial safety</w:t>
            </w:r>
            <w:r w:rsidR="00C52C9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C52C97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</w:t>
            </w:r>
            <w:r w:rsidR="00C52C97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Rules of industrial safety for </w:t>
            </w:r>
            <w:r w:rsidR="00C52C97" w:rsidRPr="00481D63">
              <w:rPr>
                <w:rFonts w:ascii="LindeDaxOffice_russian" w:hAnsi="LindeDaxOffice_russian"/>
                <w:sz w:val="24"/>
                <w:szCs w:val="24"/>
                <w:lang w:val="en-US"/>
              </w:rPr>
              <w:t>hazardous industrial facili</w:t>
            </w:r>
            <w:r w:rsidR="00C52C97">
              <w:rPr>
                <w:rFonts w:ascii="LindeDaxOffice_russian" w:hAnsi="LindeDaxOffice_russian"/>
                <w:sz w:val="24"/>
                <w:szCs w:val="24"/>
                <w:lang w:val="en-US"/>
              </w:rPr>
              <w:t>ties</w:t>
            </w:r>
            <w:r w:rsidR="000B0674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that</w:t>
            </w:r>
            <w:r w:rsidR="00C52C97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us</w:t>
            </w:r>
            <w:r w:rsidR="000B0674">
              <w:rPr>
                <w:rFonts w:ascii="LindeDaxOffice_russian" w:hAnsi="LindeDaxOffice_russian"/>
                <w:sz w:val="24"/>
                <w:szCs w:val="24"/>
                <w:lang w:val="en-US"/>
              </w:rPr>
              <w:t>e</w:t>
            </w:r>
            <w:r w:rsidR="00C52C97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the</w:t>
            </w:r>
            <w:r w:rsidR="00C52C97" w:rsidRPr="00481D6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equipment operating under </w:t>
            </w:r>
            <w:r w:rsidR="00C52C97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excessive </w:t>
            </w:r>
            <w:r w:rsidR="00C52C97" w:rsidRPr="00481D63">
              <w:rPr>
                <w:rFonts w:ascii="LindeDaxOffice_russian" w:hAnsi="LindeDaxOffice_russian"/>
                <w:sz w:val="24"/>
                <w:szCs w:val="24"/>
                <w:lang w:val="en-US"/>
              </w:rPr>
              <w:t>pressure</w:t>
            </w:r>
            <w:r w:rsidR="00C52C97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which, unfortu</w:t>
            </w:r>
            <w:r w:rsidR="00C52C9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nately, has 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not in</w:t>
            </w:r>
            <w:r w:rsidR="00C52C9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corporated our recommendations 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in full volume.</w:t>
            </w:r>
          </w:p>
          <w:p w:rsidR="005165C4" w:rsidRPr="002C4DD6" w:rsidRDefault="005165C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E0509D" w:rsidRDefault="00E0509D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165C4" w:rsidRPr="002C4DD6" w:rsidRDefault="005165C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On the recomme</w:t>
            </w:r>
            <w:r w:rsidR="00E0509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ndation of the </w:t>
            </w:r>
            <w:r w:rsidR="0088718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APIMG</w:t>
            </w:r>
            <w:r w:rsidR="00E0509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Board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 it was proposed to develop</w:t>
            </w:r>
            <w:r w:rsidR="00E0509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a consolidated position of the </w:t>
            </w:r>
            <w:r w:rsidR="0088718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APIMG</w:t>
            </w:r>
            <w:r w:rsidR="00E0509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and </w:t>
            </w:r>
            <w:r w:rsidR="00FA51B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to </w:t>
            </w:r>
            <w:r w:rsidR="00E0509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forward it to the RTN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</w:p>
          <w:p w:rsidR="005165C4" w:rsidRDefault="005165C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2129D5" w:rsidRPr="002C4DD6" w:rsidRDefault="002129D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165C4" w:rsidRPr="002C4DD6" w:rsidRDefault="00573701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On 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April 25, 2016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an extraordinary meeting of the Working group "Gas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lastRenderedPageBreak/>
              <w:t xml:space="preserve">cylinders" was initiated, where 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joint recommendations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of the </w:t>
            </w:r>
            <w:r w:rsidR="0088718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APIMG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No.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21 dated 27.04.2016 were developed</w:t>
            </w:r>
            <w:r w:rsidR="00FA51B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to proposals on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inserting </w:t>
            </w:r>
            <w:r w:rsidR="00FA51B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changes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in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to the Order "On Amendments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into </w:t>
            </w:r>
            <w:r w:rsidR="00FA51B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FNR EOUP</w:t>
            </w:r>
            <w:r w:rsidR="003E1C3C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" 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and</w:t>
            </w:r>
            <w:r w:rsidR="003E1C3C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proposals for inserting changes directly into the FNR EOUP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</w:t>
            </w:r>
            <w:r w:rsidR="003E1C3C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</w:p>
          <w:p w:rsidR="005165C4" w:rsidRPr="002C4DD6" w:rsidRDefault="005165C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B59FE" w:rsidRPr="002C4DD6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165C4" w:rsidRPr="002C4DD6" w:rsidRDefault="003E1C3C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An application of </w:t>
            </w:r>
            <w:r w:rsidR="00FA51B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 w:rsidR="0088718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APIMG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to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TC 357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with the request to consider a</w:t>
            </w:r>
            <w:r w:rsidR="00FA51B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possibility of joining the</w:t>
            </w:r>
            <w:r w:rsidR="00363EE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88718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APIMG</w:t>
            </w:r>
            <w:r w:rsidR="00363EE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as a member was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considered. As a result, </w:t>
            </w:r>
            <w:r w:rsidR="00363EE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Dmitr</w:t>
            </w:r>
            <w:r w:rsidR="00363EE5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y </w:t>
            </w:r>
            <w:proofErr w:type="spellStart"/>
            <w:r w:rsidR="00363EE5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Molotkov</w:t>
            </w:r>
            <w:proofErr w:type="spellEnd"/>
            <w:r w:rsidR="00363EE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was elected</w:t>
            </w:r>
            <w:r w:rsidR="00363EE5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363EE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a representative of the </w:t>
            </w:r>
            <w:r w:rsidR="0088718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APIMG</w:t>
            </w:r>
            <w:r w:rsidR="00363EE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in TC 357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</w:p>
          <w:p w:rsidR="005165C4" w:rsidRPr="002C4DD6" w:rsidRDefault="005165C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165C4" w:rsidRPr="005165C4" w:rsidRDefault="005165C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</w:pPr>
            <w:r w:rsidRPr="005165C4"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  <w:t>Next steps:</w:t>
            </w:r>
          </w:p>
          <w:p w:rsidR="00F53D6F" w:rsidRPr="00F53D6F" w:rsidRDefault="002129D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W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ork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should be</w:t>
            </w:r>
            <w:r w:rsidR="00363EE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continue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d</w:t>
            </w:r>
            <w:r w:rsidR="00363EE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with </w:t>
            </w:r>
            <w:r w:rsidR="00363EE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the RTN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on</w:t>
            </w:r>
            <w:r w:rsidR="00F7622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the introduction</w:t>
            </w:r>
            <w:r w:rsidR="00363EE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of the </w:t>
            </w:r>
            <w:r w:rsidR="0056198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APIMG</w:t>
            </w:r>
            <w:r w:rsidR="00F7622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proposals (No. 21 dated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27.04.2016) in</w:t>
            </w:r>
            <w:r w:rsidR="00F7622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to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the current version of </w:t>
            </w:r>
            <w:r w:rsidR="00F7622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the FNR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E</w:t>
            </w:r>
            <w:r w:rsidR="00F7622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OU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P.</w:t>
            </w:r>
          </w:p>
          <w:p w:rsidR="00AB59FE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165C4" w:rsidRPr="002C4DD6" w:rsidRDefault="005165C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5. </w:t>
            </w:r>
            <w:r w:rsidR="00363EE5" w:rsidRPr="00363EE5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Maintenance p</w:t>
            </w:r>
            <w:r w:rsidRPr="00363EE5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rocedure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363EE5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for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 imported cylinders</w:t>
            </w:r>
          </w:p>
          <w:p w:rsidR="005165C4" w:rsidRPr="002C4DD6" w:rsidRDefault="005165C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165C4" w:rsidRDefault="004A5C3F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After beginning 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close</w:t>
            </w:r>
            <w:r w:rsidR="000252F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cooperation with JSC "</w:t>
            </w:r>
            <w:proofErr w:type="spellStart"/>
            <w:r w:rsidR="000252F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RosNITI</w:t>
            </w:r>
            <w:proofErr w:type="spellEnd"/>
            <w:r w:rsidR="000252F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", the G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roup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"Gas cylinders" managed to be incorporated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to work </w:t>
            </w:r>
            <w:r w:rsidR="000252F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on the </w:t>
            </w:r>
            <w:r w:rsidR="000252F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new 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edit</w:t>
            </w:r>
            <w:r w:rsidR="000252F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ion 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of sta</w:t>
            </w:r>
            <w:r w:rsidR="00BA7E5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ndards and methods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</w:p>
          <w:p w:rsidR="00363EE5" w:rsidRPr="005165C4" w:rsidRDefault="00363EE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165C4" w:rsidRDefault="000252F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 w:rsidR="005165C4"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Group representatives reviewed the text and gave their comments on:</w:t>
            </w:r>
          </w:p>
          <w:p w:rsidR="00363EE5" w:rsidRPr="005165C4" w:rsidRDefault="00363EE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5165C4" w:rsidRPr="002C4DD6" w:rsidRDefault="005165C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- </w:t>
            </w:r>
            <w:r w:rsidR="000252F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GOST Standard (ISO 9809-1: 2010), S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eamless steel gas cylinders</w:t>
            </w:r>
            <w:r w:rsidR="000252F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for multiple 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use</w:t>
            </w:r>
            <w:r w:rsidR="000252F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 Design, manufacture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and test. Part 1: Steel cylinders, hardened and tempered with </w:t>
            </w:r>
            <w:r w:rsidR="00BA7E5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tensile strength less than 1100 </w:t>
            </w:r>
            <w:proofErr w:type="spellStart"/>
            <w:r w:rsidRPr="005165C4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MPa</w:t>
            </w:r>
            <w:proofErr w:type="spellEnd"/>
            <w:r w:rsidR="00BA7E5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</w:p>
          <w:p w:rsidR="00AB59FE" w:rsidRPr="002C4DD6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B59FE" w:rsidRPr="002C4DD6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F76222" w:rsidRDefault="00F76222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B59FE" w:rsidRPr="002C4DD6" w:rsidRDefault="00BA7E5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- Methods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(MTO</w:t>
            </w:r>
            <w:r w:rsidR="009B4E0A" w:rsidRPr="009B4E0A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14</w:t>
            </w:r>
            <w:r w:rsidR="009B4E0A">
              <w:rPr>
                <w:rFonts w:ascii="LindeDaxOffice_russian" w:hAnsi="LindeDaxOffice_russian" w:cs="Arial"/>
                <w:sz w:val="24"/>
                <w:szCs w:val="24"/>
              </w:rPr>
              <w:t>-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LA-001-2016)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of technical inspection for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seamless steel 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lastRenderedPageBreak/>
              <w:t xml:space="preserve">cylinders of small and medium capacity for working pressures up to 19.6 </w:t>
            </w:r>
            <w:proofErr w:type="spellStart"/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MPa</w:t>
            </w:r>
            <w:proofErr w:type="spellEnd"/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manufactured according to GOST 949.</w:t>
            </w:r>
          </w:p>
          <w:p w:rsidR="00AB59FE" w:rsidRPr="002C4DD6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BA7E55" w:rsidRDefault="00BA7E5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</w:pPr>
          </w:p>
          <w:p w:rsidR="00AB59FE" w:rsidRPr="00AB59FE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AB59FE"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  <w:t>As a result</w:t>
            </w:r>
            <w:r w:rsidR="00BA7E55"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  <w:t>,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BA7E5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official comment No. 18 dated</w:t>
            </w:r>
            <w:r w:rsidR="00BA7E55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08.04.2016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of </w:t>
            </w:r>
            <w:r w:rsidR="00BA7E55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was formed</w:t>
            </w:r>
            <w:r w:rsidR="000C128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by 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the APMG</w:t>
            </w:r>
            <w:r w:rsidR="00BA7E5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</w:p>
          <w:p w:rsidR="00AB59FE" w:rsidRPr="00AB59FE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B59FE" w:rsidRPr="002C4DD6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  <w:t>Next steps:</w:t>
            </w:r>
          </w:p>
          <w:p w:rsidR="00AB59FE" w:rsidRPr="00F53D6F" w:rsidRDefault="002129D5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C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lose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work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should be</w:t>
            </w:r>
            <w:r w:rsidR="00BA504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continue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d</w:t>
            </w:r>
            <w:r w:rsidR="00BA504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with </w:t>
            </w:r>
            <w:r w:rsidR="00BA504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proofErr w:type="spellStart"/>
            <w:r w:rsidR="00BA504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RosNITI</w:t>
            </w:r>
            <w:proofErr w:type="spellEnd"/>
            <w:r w:rsidR="00BA504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and TK-357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on the development and improv</w:t>
            </w:r>
            <w:r w:rsidR="00BA504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ement of standards and methods</w:t>
            </w:r>
            <w:r w:rsidR="00F7622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 g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uided by the experience of </w:t>
            </w:r>
            <w:r w:rsidR="00F7622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 w:rsidR="0056198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APIMG</w:t>
            </w:r>
            <w:r w:rsidR="00F76222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F7622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members 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and based </w:t>
            </w:r>
            <w:r w:rsidR="00F7622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up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on </w:t>
            </w:r>
            <w:r w:rsidR="00F7622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European and world standards.</w:t>
            </w:r>
          </w:p>
          <w:p w:rsidR="00AB59FE" w:rsidRPr="00C947B6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B59FE" w:rsidRPr="00AB59FE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6. </w:t>
            </w:r>
            <w:r w:rsidR="00BA5047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F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ight</w:t>
            </w:r>
            <w:r w:rsidR="00BA5047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>ing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u w:val="single"/>
                <w:lang w:val="en-US"/>
              </w:rPr>
              <w:t xml:space="preserve"> against unscrupulous providers of goods and services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:</w:t>
            </w:r>
          </w:p>
          <w:p w:rsidR="00AB59FE" w:rsidRPr="00AB59FE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B59FE" w:rsidRPr="002C4DD6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As a result of </w:t>
            </w:r>
            <w:r w:rsidR="00B67C1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interaction between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B67C1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 w:rsidR="0088718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APIMG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and </w:t>
            </w:r>
            <w:r w:rsidR="00B67C1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the RTN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FB73A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as related to the consideration of 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recommendat</w:t>
            </w:r>
            <w:r w:rsidR="00FB73A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ions for the current version</w:t>
            </w:r>
            <w:r w:rsidR="000C128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of the</w:t>
            </w:r>
            <w:r w:rsidR="00FB73A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FNR EOUP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№116, </w:t>
            </w:r>
            <w:r w:rsidR="00FB73A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 w:rsidR="00FB73A8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Association's position was voiced </w:t>
            </w:r>
            <w:r w:rsidR="00FB73A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on the necessity to fight against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unscrupulous </w:t>
            </w:r>
            <w:r w:rsidR="00FB73A8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providers </w:t>
            </w:r>
            <w:r w:rsidR="00FB73A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of goods and 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service</w:t>
            </w:r>
            <w:r w:rsidR="00FB73A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 in the field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of maintenance and periodic r</w:t>
            </w:r>
            <w:r w:rsidR="00FB73A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e-examination of cylinders. Such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position</w:t>
            </w:r>
            <w:r w:rsidR="000C128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is justified by concern with</w:t>
            </w:r>
            <w:r w:rsidR="00FB73A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issues of safe operation of 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cylinders at all production sites.</w:t>
            </w:r>
          </w:p>
          <w:p w:rsidR="00AB59FE" w:rsidRPr="002C4DD6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B59FE" w:rsidRPr="00AB59FE" w:rsidRDefault="00AB59FE" w:rsidP="00837093">
            <w:pPr>
              <w:pStyle w:val="a4"/>
              <w:tabs>
                <w:tab w:val="left" w:pos="3675"/>
              </w:tabs>
              <w:ind w:left="708"/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As an initial measure </w:t>
            </w:r>
            <w:r w:rsidR="00FB73A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it was proposed to create a unified 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list of organizations</w:t>
            </w:r>
            <w:r w:rsidR="00FB73A8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 which received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stamps </w:t>
            </w:r>
            <w:r w:rsidR="001C4BC0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for </w:t>
            </w:r>
            <w:r w:rsidR="000C128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making </w:t>
            </w:r>
            <w:r w:rsidR="001C4BC0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re-examination of 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cylinders.</w:t>
            </w:r>
          </w:p>
          <w:p w:rsidR="001C4BC0" w:rsidRDefault="001C4BC0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B59FE" w:rsidRPr="002C4DD6" w:rsidRDefault="001C4BC0" w:rsidP="00837093">
            <w:pPr>
              <w:pStyle w:val="a4"/>
              <w:tabs>
                <w:tab w:val="left" w:pos="3675"/>
              </w:tabs>
              <w:ind w:left="708"/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It wa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 also proposed to place this list o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n the official website of </w:t>
            </w:r>
            <w:r w:rsidR="000C128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Rostec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hnadzor</w:t>
            </w:r>
            <w:proofErr w:type="spellEnd"/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</w:p>
          <w:p w:rsidR="00AB59FE" w:rsidRPr="002C4DD6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B59FE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AB59FE"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  <w:t>As a result,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1C4BC0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the required L</w:t>
            </w:r>
            <w:r w:rsidR="001C4BC0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ist of organizations</w:t>
            </w:r>
            <w:r w:rsidR="000C128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 possessing</w:t>
            </w:r>
            <w:r w:rsidR="001C4BC0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stamps with </w:t>
            </w:r>
            <w:r w:rsidR="001C4BC0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lastRenderedPageBreak/>
              <w:t>ciphers</w:t>
            </w:r>
            <w:r w:rsidR="001C4BC0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for branding cylinders, </w:t>
            </w:r>
            <w:r w:rsidR="000C128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which were </w:t>
            </w:r>
            <w:r w:rsidR="001C4BC0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provided by the </w:t>
            </w:r>
            <w:proofErr w:type="spellStart"/>
            <w:r w:rsidR="001C4BC0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Rostec</w:t>
            </w:r>
            <w:r w:rsidR="001C4BC0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hnadzor</w:t>
            </w:r>
            <w:proofErr w:type="spellEnd"/>
            <w:r w:rsidR="000C128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</w:t>
            </w:r>
            <w:r w:rsidR="002129D5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appeared on</w:t>
            </w:r>
            <w:r w:rsidR="001C4BC0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the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RTN website:</w:t>
            </w:r>
          </w:p>
          <w:p w:rsidR="00AB59FE" w:rsidRPr="002C4DD6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C4DD6">
              <w:rPr>
                <w:rFonts w:ascii="LindeDaxOffice_russian" w:hAnsi="LindeDaxOffice_russian" w:cs="Arial"/>
                <w:sz w:val="16"/>
                <w:szCs w:val="16"/>
                <w:lang w:val="en-US"/>
              </w:rPr>
              <w:t>http://www.gosnadzor.ru/industrial/equipment/kleim/</w:t>
            </w:r>
            <w:r w:rsidRPr="002C4DD6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 </w:t>
            </w:r>
          </w:p>
          <w:p w:rsidR="00AB59FE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F53D6F" w:rsidRPr="00F53D6F" w:rsidRDefault="00F53D6F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2129D5"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  <w:t>Next steps</w:t>
            </w:r>
            <w:r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:</w:t>
            </w:r>
          </w:p>
          <w:p w:rsidR="00F53D6F" w:rsidRDefault="00590EB7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To a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sk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the R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to 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write an open letter to all interested parties </w:t>
            </w:r>
            <w:r w:rsidR="00DA1BC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on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the existing possibility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to learn </w:t>
            </w:r>
            <w:r w:rsidR="00DA1BC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about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belonging 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and relevance of stamps</w:t>
            </w:r>
            <w:r w:rsidR="00DA1BC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issued for</w:t>
            </w:r>
            <w:r w:rsidR="00DA1BC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organizations with the purpose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to make the re-examination of </w:t>
            </w:r>
            <w:r w:rsidR="00F53D6F"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cylinders</w:t>
            </w:r>
            <w:r w:rsidR="00DA1BC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</w:t>
            </w:r>
            <w:r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on the official website of the R</w:t>
            </w:r>
            <w:r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TH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</w:t>
            </w:r>
          </w:p>
          <w:p w:rsidR="00590EB7" w:rsidRPr="00F53D6F" w:rsidRDefault="00590EB7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45FCA" w:rsidRDefault="00F53D6F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After receiving a letter from </w:t>
            </w:r>
            <w:r w:rsidR="00590EB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the R</w:t>
            </w:r>
            <w:r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TH,</w:t>
            </w:r>
            <w:r w:rsidR="00590EB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to</w:t>
            </w:r>
            <w:r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write a</w:t>
            </w:r>
            <w:r w:rsidR="00DA1BC2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n explanatory letter on behalf of</w:t>
            </w:r>
            <w:r w:rsidR="00590EB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the </w:t>
            </w:r>
            <w:r w:rsidR="0056198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APIMG</w:t>
            </w:r>
            <w:r w:rsidRPr="00F53D6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, which will be sent to each member of the association to its customers.</w:t>
            </w:r>
          </w:p>
          <w:p w:rsidR="00A45FCA" w:rsidRDefault="00A45FCA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B59FE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</w:pPr>
            <w:r w:rsidRPr="00AB59FE"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  <w:t>In addition, during the reporting period:</w:t>
            </w:r>
          </w:p>
          <w:p w:rsidR="00B84379" w:rsidRPr="00AB59FE" w:rsidRDefault="00B84379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</w:pPr>
          </w:p>
          <w:p w:rsidR="00AB59FE" w:rsidRPr="002C4DD6" w:rsidRDefault="001C4BC0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An application of 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TC 114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to the </w:t>
            </w:r>
            <w:r w:rsidR="0088718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APIMG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with a proposal of</w:t>
            </w:r>
            <w:r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cooperation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was considered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. One of</w:t>
            </w:r>
            <w:r w:rsidR="000C128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DC3DE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proposals was to incorporate TC-114 as a representative into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one of the </w:t>
            </w:r>
            <w:r w:rsidR="0088718F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APIMG</w:t>
            </w:r>
            <w:r w:rsidR="00DC3DE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 w:rsidR="000C128D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W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orking groups.</w:t>
            </w:r>
          </w:p>
          <w:p w:rsidR="00AB59FE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736224" w:rsidRPr="002C4DD6" w:rsidRDefault="00736224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B59FE" w:rsidRDefault="000C128D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  <w:t>As a</w:t>
            </w:r>
            <w:r w:rsidR="00AB59FE" w:rsidRPr="00AB59FE">
              <w:rPr>
                <w:rFonts w:ascii="LindeDaxOffice_russian" w:hAnsi="LindeDaxOffice_russian" w:cs="Arial"/>
                <w:b/>
                <w:sz w:val="24"/>
                <w:szCs w:val="24"/>
                <w:lang w:val="en-US"/>
              </w:rPr>
              <w:t xml:space="preserve"> result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: On the basis of preliminary discussions, all members of the Group agree</w:t>
            </w:r>
            <w:r w:rsidR="00DC3DE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d that the participation of TC-114 in the W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orking group "Gas cylinders" is i</w:t>
            </w:r>
            <w:r w:rsidR="00DC3DE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nappropriate, as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the main task of </w:t>
            </w:r>
            <w:r w:rsidR="00DC3DE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TC-114 is to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work on</w:t>
            </w:r>
            <w:r w:rsidR="00DC3DE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the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standardization of </w:t>
            </w:r>
            <w:r w:rsidR="00DC3DE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oxygen and cryogenic equipment.</w:t>
            </w:r>
          </w:p>
          <w:p w:rsidR="00DC3DEE" w:rsidRDefault="00DC3DE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DC3DEE" w:rsidRPr="00AB59FE" w:rsidRDefault="00DC3DE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0C128D" w:rsidRDefault="000C128D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  <w:p w:rsidR="00AB59FE" w:rsidRPr="00AB59FE" w:rsidRDefault="00DC3DE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The basic technical committee for the 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"Gas cylinders"</w:t>
            </w:r>
            <w:r w:rsidR="004C6911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business line</w:t>
            </w:r>
            <w:r w:rsidR="00AB59FE" w:rsidRPr="00AB59FE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is TC-357.</w:t>
            </w:r>
          </w:p>
          <w:p w:rsidR="00AB59FE" w:rsidRPr="00AB59FE" w:rsidRDefault="00AB59FE" w:rsidP="00837093">
            <w:pPr>
              <w:pStyle w:val="a4"/>
              <w:tabs>
                <w:tab w:val="left" w:pos="3675"/>
              </w:tabs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</w:tc>
      </w:tr>
    </w:tbl>
    <w:p w:rsidR="000C128D" w:rsidRDefault="000C128D" w:rsidP="009826DB">
      <w:pPr>
        <w:spacing w:after="0"/>
        <w:rPr>
          <w:rFonts w:ascii="LindeDaxOffice_russian" w:hAnsi="LindeDaxOffice_russian"/>
          <w:sz w:val="28"/>
          <w:szCs w:val="28"/>
          <w:lang w:val="en-US"/>
        </w:rPr>
      </w:pPr>
    </w:p>
    <w:p w:rsidR="00590EB7" w:rsidRPr="00AB59FE" w:rsidRDefault="00590EB7" w:rsidP="009826DB">
      <w:pPr>
        <w:spacing w:after="0"/>
        <w:rPr>
          <w:rFonts w:ascii="LindeDaxOffice_russian" w:hAnsi="LindeDaxOffice_russian"/>
          <w:sz w:val="28"/>
          <w:szCs w:val="28"/>
          <w:lang w:val="en-US"/>
        </w:rPr>
      </w:pPr>
    </w:p>
    <w:p w:rsidR="002E3F7E" w:rsidRDefault="009826DB" w:rsidP="009826DB">
      <w:pPr>
        <w:spacing w:after="0"/>
        <w:rPr>
          <w:rFonts w:ascii="LindeDaxOffice_russian" w:hAnsi="LindeDaxOffice_russian"/>
          <w:sz w:val="28"/>
          <w:szCs w:val="28"/>
        </w:rPr>
      </w:pPr>
      <w:r>
        <w:rPr>
          <w:rFonts w:ascii="LindeDaxOffice_russian" w:hAnsi="LindeDaxOffice_russian"/>
          <w:sz w:val="28"/>
          <w:szCs w:val="28"/>
        </w:rPr>
        <w:lastRenderedPageBreak/>
        <w:t>Руко</w:t>
      </w:r>
      <w:r w:rsidR="002C0A4F">
        <w:rPr>
          <w:rFonts w:ascii="LindeDaxOffice_russian" w:hAnsi="LindeDaxOffice_russian"/>
          <w:sz w:val="28"/>
          <w:szCs w:val="28"/>
        </w:rPr>
        <w:t>водитель рабочей группы «</w:t>
      </w:r>
      <w:r w:rsidR="005D1F5A">
        <w:rPr>
          <w:rFonts w:ascii="LindeDaxOffice_russian" w:hAnsi="LindeDaxOffice_russian"/>
          <w:sz w:val="28"/>
          <w:szCs w:val="28"/>
        </w:rPr>
        <w:t>Газовые б</w:t>
      </w:r>
      <w:r w:rsidR="004434EA">
        <w:rPr>
          <w:rFonts w:ascii="LindeDaxOffice_russian" w:hAnsi="LindeDaxOffice_russian"/>
          <w:sz w:val="28"/>
          <w:szCs w:val="28"/>
        </w:rPr>
        <w:t>аллоны</w:t>
      </w:r>
      <w:r>
        <w:rPr>
          <w:rFonts w:ascii="LindeDaxOffice_russian" w:hAnsi="LindeDaxOffice_russian"/>
          <w:sz w:val="28"/>
          <w:szCs w:val="28"/>
        </w:rPr>
        <w:t>»</w:t>
      </w:r>
    </w:p>
    <w:p w:rsidR="009826DB" w:rsidRDefault="009826DB" w:rsidP="009826DB">
      <w:pPr>
        <w:spacing w:after="0"/>
        <w:rPr>
          <w:rFonts w:ascii="LindeDaxOffice_russian" w:hAnsi="LindeDaxOffice_russian"/>
          <w:sz w:val="28"/>
          <w:szCs w:val="28"/>
        </w:rPr>
      </w:pPr>
      <w:r>
        <w:rPr>
          <w:rFonts w:ascii="LindeDaxOffice_russian" w:hAnsi="LindeDaxOffice_russian"/>
          <w:sz w:val="28"/>
          <w:szCs w:val="28"/>
        </w:rPr>
        <w:t>Ассоциации Производителей Промышленных и Медицинских Газов</w:t>
      </w:r>
      <w:r w:rsidR="00AB59FE">
        <w:rPr>
          <w:rFonts w:ascii="LindeDaxOffice_russian" w:hAnsi="LindeDaxOffice_russian"/>
          <w:sz w:val="28"/>
          <w:szCs w:val="28"/>
        </w:rPr>
        <w:t xml:space="preserve"> /</w:t>
      </w:r>
    </w:p>
    <w:p w:rsidR="00AB59FE" w:rsidRPr="00AB59FE" w:rsidRDefault="004C6911" w:rsidP="00AB59FE">
      <w:pPr>
        <w:spacing w:after="0"/>
        <w:rPr>
          <w:rFonts w:ascii="LindeDaxOffice_russian" w:hAnsi="LindeDaxOffice_russian"/>
          <w:sz w:val="28"/>
          <w:szCs w:val="28"/>
          <w:lang w:val="en-US"/>
        </w:rPr>
      </w:pPr>
      <w:r>
        <w:rPr>
          <w:rFonts w:ascii="LindeDaxOffice_russian" w:hAnsi="LindeDaxOffice_russian"/>
          <w:sz w:val="28"/>
          <w:szCs w:val="28"/>
          <w:lang w:val="en-US"/>
        </w:rPr>
        <w:t>Head of the W</w:t>
      </w:r>
      <w:r w:rsidR="00AB59FE" w:rsidRPr="00AB59FE">
        <w:rPr>
          <w:rFonts w:ascii="LindeDaxOffice_russian" w:hAnsi="LindeDaxOffice_russian"/>
          <w:sz w:val="28"/>
          <w:szCs w:val="28"/>
          <w:lang w:val="en-US"/>
        </w:rPr>
        <w:t>orking group "Gas cylinders"</w:t>
      </w:r>
    </w:p>
    <w:p w:rsidR="00AB59FE" w:rsidRDefault="00AB59FE" w:rsidP="00AB59FE">
      <w:pPr>
        <w:spacing w:after="0"/>
        <w:rPr>
          <w:rFonts w:ascii="LindeDaxOffice_russian" w:hAnsi="LindeDaxOffice_russian"/>
          <w:sz w:val="28"/>
          <w:szCs w:val="28"/>
          <w:lang w:val="en-US"/>
        </w:rPr>
      </w:pPr>
      <w:r w:rsidRPr="00AB59FE">
        <w:rPr>
          <w:rFonts w:ascii="LindeDaxOffice_russian" w:hAnsi="LindeDaxOffice_russian"/>
          <w:sz w:val="28"/>
          <w:szCs w:val="28"/>
          <w:lang w:val="en-US"/>
        </w:rPr>
        <w:t>Association of industrial and medical gases</w:t>
      </w:r>
      <w:r>
        <w:rPr>
          <w:rFonts w:ascii="LindeDaxOffice_russian" w:hAnsi="LindeDaxOffice_russian"/>
          <w:sz w:val="28"/>
          <w:szCs w:val="28"/>
          <w:lang w:val="en-US"/>
        </w:rPr>
        <w:t xml:space="preserve"> producers</w:t>
      </w:r>
    </w:p>
    <w:p w:rsidR="00AB59FE" w:rsidRPr="00AB59FE" w:rsidRDefault="00AB59FE" w:rsidP="00AB59FE">
      <w:pPr>
        <w:spacing w:after="0"/>
        <w:rPr>
          <w:rFonts w:ascii="LindeDaxOffice_russian" w:hAnsi="LindeDaxOffice_russian"/>
          <w:sz w:val="28"/>
          <w:szCs w:val="28"/>
          <w:lang w:val="en-US"/>
        </w:rPr>
      </w:pPr>
    </w:p>
    <w:p w:rsidR="009826DB" w:rsidRPr="00AB59FE" w:rsidRDefault="009826DB" w:rsidP="009826DB">
      <w:pPr>
        <w:spacing w:after="0"/>
        <w:rPr>
          <w:rFonts w:ascii="LindeDaxOffice_russian" w:hAnsi="LindeDaxOffice_russian"/>
          <w:sz w:val="28"/>
          <w:szCs w:val="28"/>
          <w:lang w:val="en-US"/>
        </w:rPr>
      </w:pPr>
      <w:r w:rsidRPr="00AB59FE">
        <w:rPr>
          <w:rFonts w:ascii="LindeDaxOffice_russian" w:hAnsi="LindeDaxOffice_russian"/>
          <w:sz w:val="28"/>
          <w:szCs w:val="28"/>
          <w:lang w:val="en-US"/>
        </w:rPr>
        <w:t xml:space="preserve">_________________________________ </w:t>
      </w:r>
      <w:r w:rsidR="00AB59FE">
        <w:rPr>
          <w:rFonts w:ascii="LindeDaxOffice_russian" w:hAnsi="LindeDaxOffice_russian"/>
          <w:sz w:val="28"/>
          <w:szCs w:val="28"/>
        </w:rPr>
        <w:t>С</w:t>
      </w:r>
      <w:r w:rsidR="00AB59FE" w:rsidRPr="00AB59FE">
        <w:rPr>
          <w:rFonts w:ascii="LindeDaxOffice_russian" w:hAnsi="LindeDaxOffice_russian"/>
          <w:sz w:val="28"/>
          <w:szCs w:val="28"/>
          <w:lang w:val="en-US"/>
        </w:rPr>
        <w:t>.</w:t>
      </w:r>
      <w:r w:rsidR="00AB59FE">
        <w:rPr>
          <w:rFonts w:ascii="LindeDaxOffice_russian" w:hAnsi="LindeDaxOffice_russian"/>
          <w:sz w:val="28"/>
          <w:szCs w:val="28"/>
        </w:rPr>
        <w:t>В</w:t>
      </w:r>
      <w:r w:rsidR="00AB59FE" w:rsidRPr="00AB59FE">
        <w:rPr>
          <w:rFonts w:ascii="LindeDaxOffice_russian" w:hAnsi="LindeDaxOffice_russian"/>
          <w:sz w:val="28"/>
          <w:szCs w:val="28"/>
          <w:lang w:val="en-US"/>
        </w:rPr>
        <w:t>.</w:t>
      </w:r>
      <w:r w:rsidR="004434EA">
        <w:rPr>
          <w:rFonts w:ascii="LindeDaxOffice_russian" w:hAnsi="LindeDaxOffice_russian"/>
          <w:sz w:val="28"/>
          <w:szCs w:val="28"/>
        </w:rPr>
        <w:t>Барков</w:t>
      </w:r>
      <w:r w:rsidR="00AB59FE" w:rsidRPr="00AB59FE">
        <w:rPr>
          <w:rFonts w:ascii="LindeDaxOffice_russian" w:hAnsi="LindeDaxOffice_russian"/>
          <w:sz w:val="28"/>
          <w:szCs w:val="28"/>
          <w:lang w:val="en-US"/>
        </w:rPr>
        <w:t xml:space="preserve"> / </w:t>
      </w:r>
      <w:proofErr w:type="spellStart"/>
      <w:r w:rsidR="00AB59FE">
        <w:rPr>
          <w:rFonts w:ascii="LindeDaxOffice_russian" w:hAnsi="LindeDaxOffice_russian"/>
          <w:sz w:val="28"/>
          <w:szCs w:val="28"/>
          <w:lang w:val="en-US"/>
        </w:rPr>
        <w:t>S</w:t>
      </w:r>
      <w:r w:rsidR="00AB59FE" w:rsidRPr="00AB59FE">
        <w:rPr>
          <w:rFonts w:ascii="LindeDaxOffice_russian" w:hAnsi="LindeDaxOffice_russian"/>
          <w:sz w:val="28"/>
          <w:szCs w:val="28"/>
          <w:lang w:val="en-US"/>
        </w:rPr>
        <w:t>.</w:t>
      </w:r>
      <w:r w:rsidR="00AB59FE">
        <w:rPr>
          <w:rFonts w:ascii="LindeDaxOffice_russian" w:hAnsi="LindeDaxOffice_russian"/>
          <w:sz w:val="28"/>
          <w:szCs w:val="28"/>
          <w:lang w:val="en-US"/>
        </w:rPr>
        <w:t>V.Barkov</w:t>
      </w:r>
      <w:proofErr w:type="spellEnd"/>
      <w:r w:rsidR="004434EA" w:rsidRPr="00AB59FE">
        <w:rPr>
          <w:rFonts w:ascii="LindeDaxOffice_russian" w:hAnsi="LindeDaxOffice_russian"/>
          <w:sz w:val="28"/>
          <w:szCs w:val="28"/>
          <w:lang w:val="en-US"/>
        </w:rPr>
        <w:t xml:space="preserve"> </w:t>
      </w:r>
    </w:p>
    <w:p w:rsidR="002C3E38" w:rsidRPr="00AB59FE" w:rsidRDefault="002906A1" w:rsidP="00A45FCA">
      <w:pPr>
        <w:spacing w:after="0"/>
        <w:rPr>
          <w:rFonts w:ascii="LindeDaxOffice_russian" w:hAnsi="LindeDaxOffice_russian" w:cs="Times New Roman"/>
          <w:sz w:val="28"/>
          <w:szCs w:val="28"/>
        </w:rPr>
      </w:pPr>
      <w:r>
        <w:rPr>
          <w:rFonts w:ascii="LindeDaxOffice_russian" w:hAnsi="LindeDaxOffice_russian"/>
          <w:sz w:val="28"/>
          <w:szCs w:val="28"/>
        </w:rPr>
        <w:t>«</w:t>
      </w:r>
      <w:r w:rsidR="004434EA">
        <w:rPr>
          <w:rFonts w:ascii="LindeDaxOffice_russian" w:hAnsi="LindeDaxOffice_russian"/>
          <w:sz w:val="28"/>
          <w:szCs w:val="28"/>
        </w:rPr>
        <w:t>24</w:t>
      </w:r>
      <w:r>
        <w:rPr>
          <w:rFonts w:ascii="LindeDaxOffice_russian" w:hAnsi="LindeDaxOffice_russian"/>
          <w:sz w:val="28"/>
          <w:szCs w:val="28"/>
        </w:rPr>
        <w:t xml:space="preserve">» </w:t>
      </w:r>
      <w:r w:rsidR="004434EA">
        <w:rPr>
          <w:rFonts w:ascii="LindeDaxOffice_russian" w:hAnsi="LindeDaxOffice_russian"/>
          <w:sz w:val="28"/>
          <w:szCs w:val="28"/>
        </w:rPr>
        <w:t>июня</w:t>
      </w:r>
      <w:r>
        <w:rPr>
          <w:rFonts w:ascii="LindeDaxOffice_russian" w:hAnsi="LindeDaxOffice_russian"/>
          <w:sz w:val="28"/>
          <w:szCs w:val="28"/>
        </w:rPr>
        <w:t xml:space="preserve"> 2016 г.</w:t>
      </w:r>
      <w:r w:rsidR="00AB59FE">
        <w:rPr>
          <w:rFonts w:ascii="LindeDaxOffice_russian" w:hAnsi="LindeDaxOffice_russian"/>
          <w:sz w:val="28"/>
          <w:szCs w:val="28"/>
          <w:lang w:val="en-US"/>
        </w:rPr>
        <w:t xml:space="preserve"> / June 24, 2016</w:t>
      </w:r>
      <w:r w:rsidR="00D81585">
        <w:rPr>
          <w:rFonts w:ascii="LindeDaxOffice_russian" w:hAnsi="LindeDaxOffice_russian" w:cs="Times New Roman"/>
          <w:noProof/>
          <w:sz w:val="28"/>
          <w:szCs w:val="28"/>
        </w:rPr>
        <w:drawing>
          <wp:inline distT="0" distB="0" distL="0" distR="0">
            <wp:extent cx="6474736" cy="2242868"/>
            <wp:effectExtent l="19050" t="0" r="2264" b="0"/>
            <wp:docPr id="1" name="Рисунок 1" descr="D:\Юрисконсульт\Corporation\Ассоциация_APIMG\План сайта, логотип\Логотип\2016\Approval logo\Утвердить на собрании 30_03_2016\Updated\Подпись_AP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рисконсульт\Corporation\Ассоциация_APIMG\План сайта, логотип\Логотип\2016\Approval logo\Утвердить на собрании 30_03_2016\Updated\Подпись_APIM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4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E38" w:rsidRPr="00AB59FE" w:rsidSect="00A45FCA">
      <w:footerReference w:type="default" r:id="rId12"/>
      <w:pgSz w:w="11906" w:h="16838"/>
      <w:pgMar w:top="1134" w:right="851" w:bottom="907" w:left="85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AF" w:rsidRDefault="00C626AF" w:rsidP="00A45FCA">
      <w:pPr>
        <w:spacing w:after="0" w:line="240" w:lineRule="auto"/>
      </w:pPr>
      <w:r>
        <w:separator/>
      </w:r>
    </w:p>
  </w:endnote>
  <w:endnote w:type="continuationSeparator" w:id="0">
    <w:p w:rsidR="00C626AF" w:rsidRDefault="00C626AF" w:rsidP="00A4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deDaxOffice_russian">
    <w:altName w:val="Segoe UI"/>
    <w:charset w:val="CC"/>
    <w:family w:val="swiss"/>
    <w:pitch w:val="variable"/>
    <w:sig w:usb0="00000001" w:usb1="5000000A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50163"/>
      <w:docPartObj>
        <w:docPartGallery w:val="Page Numbers (Bottom of Page)"/>
        <w:docPartUnique/>
      </w:docPartObj>
    </w:sdtPr>
    <w:sdtContent>
      <w:p w:rsidR="002129D5" w:rsidRDefault="00E321A4">
        <w:pPr>
          <w:pStyle w:val="a9"/>
          <w:jc w:val="center"/>
        </w:pPr>
        <w:fldSimple w:instr=" PAGE   \* MERGEFORMAT ">
          <w:r w:rsidR="009B4E0A">
            <w:rPr>
              <w:noProof/>
            </w:rPr>
            <w:t>- 1 -</w:t>
          </w:r>
        </w:fldSimple>
      </w:p>
    </w:sdtContent>
  </w:sdt>
  <w:p w:rsidR="002129D5" w:rsidRDefault="002129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AF" w:rsidRDefault="00C626AF" w:rsidP="00A45FCA">
      <w:pPr>
        <w:spacing w:after="0" w:line="240" w:lineRule="auto"/>
      </w:pPr>
      <w:r>
        <w:separator/>
      </w:r>
    </w:p>
  </w:footnote>
  <w:footnote w:type="continuationSeparator" w:id="0">
    <w:p w:rsidR="00C626AF" w:rsidRDefault="00C626AF" w:rsidP="00A4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AE5F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344DD"/>
    <w:multiLevelType w:val="hybridMultilevel"/>
    <w:tmpl w:val="1B20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7035"/>
    <w:multiLevelType w:val="hybridMultilevel"/>
    <w:tmpl w:val="4394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701A7"/>
    <w:multiLevelType w:val="multilevel"/>
    <w:tmpl w:val="56BE493E"/>
    <w:lvl w:ilvl="0">
      <w:start w:val="1"/>
      <w:numFmt w:val="decimal"/>
      <w:lvlText w:val="%1."/>
      <w:lvlJc w:val="left"/>
      <w:pPr>
        <w:ind w:left="360" w:hanging="360"/>
      </w:pPr>
      <w:rPr>
        <w:rFonts w:ascii="LindeDaxOffice_russian" w:hAnsi="LindeDaxOffice_russian" w:cs="Courier New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ourier New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Courier New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Courier New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Courier New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Courier New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Courier New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Courier New" w:hint="default"/>
        <w:color w:val="auto"/>
      </w:rPr>
    </w:lvl>
  </w:abstractNum>
  <w:abstractNum w:abstractNumId="4">
    <w:nsid w:val="1AF15341"/>
    <w:multiLevelType w:val="hybridMultilevel"/>
    <w:tmpl w:val="C876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350C"/>
    <w:multiLevelType w:val="hybridMultilevel"/>
    <w:tmpl w:val="FAF2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83591"/>
    <w:multiLevelType w:val="multilevel"/>
    <w:tmpl w:val="7834F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6" w:hanging="1800"/>
      </w:pPr>
      <w:rPr>
        <w:rFonts w:hint="default"/>
      </w:rPr>
    </w:lvl>
  </w:abstractNum>
  <w:abstractNum w:abstractNumId="7">
    <w:nsid w:val="2C9D3810"/>
    <w:multiLevelType w:val="hybridMultilevel"/>
    <w:tmpl w:val="6F56C0B6"/>
    <w:lvl w:ilvl="0" w:tplc="BEA6609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2222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3E505C"/>
    <w:multiLevelType w:val="hybridMultilevel"/>
    <w:tmpl w:val="8D5A5904"/>
    <w:lvl w:ilvl="0" w:tplc="990864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B660B"/>
    <w:multiLevelType w:val="multilevel"/>
    <w:tmpl w:val="EF16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7D1905"/>
    <w:multiLevelType w:val="multilevel"/>
    <w:tmpl w:val="56BE493E"/>
    <w:lvl w:ilvl="0">
      <w:start w:val="1"/>
      <w:numFmt w:val="decimal"/>
      <w:lvlText w:val="%1."/>
      <w:lvlJc w:val="left"/>
      <w:pPr>
        <w:ind w:left="360" w:hanging="360"/>
      </w:pPr>
      <w:rPr>
        <w:rFonts w:ascii="LindeDaxOffice_russian" w:hAnsi="LindeDaxOffice_russian" w:cs="Courier New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ourier New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Courier New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Courier New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Courier New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Courier New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Courier New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Courier New" w:hint="default"/>
        <w:color w:val="auto"/>
      </w:rPr>
    </w:lvl>
  </w:abstractNum>
  <w:abstractNum w:abstractNumId="11">
    <w:nsid w:val="3F387DCE"/>
    <w:multiLevelType w:val="hybridMultilevel"/>
    <w:tmpl w:val="4F889C8C"/>
    <w:lvl w:ilvl="0" w:tplc="F26A78F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37936"/>
    <w:multiLevelType w:val="hybridMultilevel"/>
    <w:tmpl w:val="B04845FC"/>
    <w:lvl w:ilvl="0" w:tplc="6ADAB61A">
      <w:start w:val="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42D3F"/>
    <w:multiLevelType w:val="hybridMultilevel"/>
    <w:tmpl w:val="ED5471B4"/>
    <w:lvl w:ilvl="0" w:tplc="022EDF4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57F57"/>
    <w:multiLevelType w:val="hybridMultilevel"/>
    <w:tmpl w:val="239C9808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5">
    <w:nsid w:val="58A87131"/>
    <w:multiLevelType w:val="multilevel"/>
    <w:tmpl w:val="15EEA38A"/>
    <w:lvl w:ilvl="0">
      <w:start w:val="1"/>
      <w:numFmt w:val="decimal"/>
      <w:lvlText w:val="%1."/>
      <w:lvlJc w:val="left"/>
      <w:pPr>
        <w:ind w:left="360" w:hanging="360"/>
      </w:pPr>
      <w:rPr>
        <w:rFonts w:ascii="LindeDaxOffice_russian" w:hAnsi="LindeDaxOffice_russian" w:cs="Courier New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ourier New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Courier New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Courier New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Courier New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Courier New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Courier New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Courier New" w:hint="default"/>
        <w:color w:val="auto"/>
      </w:rPr>
    </w:lvl>
  </w:abstractNum>
  <w:abstractNum w:abstractNumId="16">
    <w:nsid w:val="59B83154"/>
    <w:multiLevelType w:val="hybridMultilevel"/>
    <w:tmpl w:val="913062AA"/>
    <w:lvl w:ilvl="0" w:tplc="A5903410">
      <w:start w:val="36"/>
      <w:numFmt w:val="bullet"/>
      <w:lvlText w:val="-"/>
      <w:lvlJc w:val="left"/>
      <w:pPr>
        <w:ind w:left="1149" w:hanging="360"/>
      </w:pPr>
      <w:rPr>
        <w:rFonts w:ascii="LindeDaxOffice_russian" w:eastAsiaTheme="minorEastAsia" w:hAnsi="LindeDaxOffice_russian" w:cs="Aria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7">
    <w:nsid w:val="5B3D6B30"/>
    <w:multiLevelType w:val="hybridMultilevel"/>
    <w:tmpl w:val="7D5CC3D8"/>
    <w:lvl w:ilvl="0" w:tplc="CF9894FE">
      <w:start w:val="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F4824"/>
    <w:multiLevelType w:val="hybridMultilevel"/>
    <w:tmpl w:val="A7C4AD3E"/>
    <w:lvl w:ilvl="0" w:tplc="BEA66094">
      <w:start w:val="1"/>
      <w:numFmt w:val="decimal"/>
      <w:lvlText w:val="%1."/>
      <w:lvlJc w:val="left"/>
      <w:pPr>
        <w:ind w:left="1440" w:hanging="360"/>
      </w:pPr>
      <w:rPr>
        <w:rFonts w:cs="Arial" w:hint="default"/>
        <w:color w:val="222222"/>
        <w:u w:val="singl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005BDF"/>
    <w:multiLevelType w:val="hybridMultilevel"/>
    <w:tmpl w:val="330E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E6B8E"/>
    <w:multiLevelType w:val="hybridMultilevel"/>
    <w:tmpl w:val="73064BDA"/>
    <w:lvl w:ilvl="0" w:tplc="12CA2C64">
      <w:start w:val="4"/>
      <w:numFmt w:val="decimal"/>
      <w:lvlText w:val="%1."/>
      <w:lvlJc w:val="left"/>
      <w:pPr>
        <w:ind w:left="720" w:hanging="360"/>
      </w:pPr>
      <w:rPr>
        <w:rFonts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F3AD6"/>
    <w:multiLevelType w:val="hybridMultilevel"/>
    <w:tmpl w:val="FC50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E0597"/>
    <w:multiLevelType w:val="hybridMultilevel"/>
    <w:tmpl w:val="264E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D2B7D"/>
    <w:multiLevelType w:val="hybridMultilevel"/>
    <w:tmpl w:val="F1B2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6"/>
  </w:num>
  <w:num w:numId="5">
    <w:abstractNumId w:val="15"/>
  </w:num>
  <w:num w:numId="6">
    <w:abstractNumId w:val="20"/>
  </w:num>
  <w:num w:numId="7">
    <w:abstractNumId w:val="3"/>
  </w:num>
  <w:num w:numId="8">
    <w:abstractNumId w:val="0"/>
  </w:num>
  <w:num w:numId="9">
    <w:abstractNumId w:val="1"/>
  </w:num>
  <w:num w:numId="10">
    <w:abstractNumId w:val="17"/>
  </w:num>
  <w:num w:numId="11">
    <w:abstractNumId w:val="12"/>
  </w:num>
  <w:num w:numId="12">
    <w:abstractNumId w:val="5"/>
  </w:num>
  <w:num w:numId="13">
    <w:abstractNumId w:val="18"/>
  </w:num>
  <w:num w:numId="14">
    <w:abstractNumId w:val="16"/>
  </w:num>
  <w:num w:numId="15">
    <w:abstractNumId w:val="14"/>
  </w:num>
  <w:num w:numId="16">
    <w:abstractNumId w:val="7"/>
  </w:num>
  <w:num w:numId="17">
    <w:abstractNumId w:val="13"/>
  </w:num>
  <w:num w:numId="18">
    <w:abstractNumId w:val="11"/>
  </w:num>
  <w:num w:numId="19">
    <w:abstractNumId w:val="2"/>
  </w:num>
  <w:num w:numId="20">
    <w:abstractNumId w:val="4"/>
  </w:num>
  <w:num w:numId="21">
    <w:abstractNumId w:val="9"/>
  </w:num>
  <w:num w:numId="22">
    <w:abstractNumId w:val="21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D4F"/>
    <w:rsid w:val="00001629"/>
    <w:rsid w:val="00017DCE"/>
    <w:rsid w:val="0002159B"/>
    <w:rsid w:val="000252F4"/>
    <w:rsid w:val="00027C31"/>
    <w:rsid w:val="0003488D"/>
    <w:rsid w:val="00063805"/>
    <w:rsid w:val="00065580"/>
    <w:rsid w:val="00087F7F"/>
    <w:rsid w:val="000959CC"/>
    <w:rsid w:val="000A27A3"/>
    <w:rsid w:val="000A290E"/>
    <w:rsid w:val="000B0674"/>
    <w:rsid w:val="000B39CE"/>
    <w:rsid w:val="000B3B84"/>
    <w:rsid w:val="000C128D"/>
    <w:rsid w:val="000D375F"/>
    <w:rsid w:val="000E4F4C"/>
    <w:rsid w:val="000F255F"/>
    <w:rsid w:val="000F41CF"/>
    <w:rsid w:val="00111346"/>
    <w:rsid w:val="00133821"/>
    <w:rsid w:val="00135349"/>
    <w:rsid w:val="001449EB"/>
    <w:rsid w:val="00155617"/>
    <w:rsid w:val="00160048"/>
    <w:rsid w:val="00160CA2"/>
    <w:rsid w:val="00170F13"/>
    <w:rsid w:val="00173BE6"/>
    <w:rsid w:val="00185A7C"/>
    <w:rsid w:val="00194B3E"/>
    <w:rsid w:val="001B058B"/>
    <w:rsid w:val="001B3AE3"/>
    <w:rsid w:val="001B5477"/>
    <w:rsid w:val="001C029A"/>
    <w:rsid w:val="001C4BC0"/>
    <w:rsid w:val="001D3FC4"/>
    <w:rsid w:val="001E2DAE"/>
    <w:rsid w:val="001F7F5F"/>
    <w:rsid w:val="0021025F"/>
    <w:rsid w:val="002129D5"/>
    <w:rsid w:val="002207C0"/>
    <w:rsid w:val="00222B2C"/>
    <w:rsid w:val="00227679"/>
    <w:rsid w:val="00241B66"/>
    <w:rsid w:val="00254F84"/>
    <w:rsid w:val="00263209"/>
    <w:rsid w:val="002906A1"/>
    <w:rsid w:val="00294AEB"/>
    <w:rsid w:val="002A3225"/>
    <w:rsid w:val="002A4F59"/>
    <w:rsid w:val="002C0A4F"/>
    <w:rsid w:val="002C3E38"/>
    <w:rsid w:val="002C4DD6"/>
    <w:rsid w:val="002D11EB"/>
    <w:rsid w:val="002E3F7E"/>
    <w:rsid w:val="002F6B42"/>
    <w:rsid w:val="00302B46"/>
    <w:rsid w:val="00303E3C"/>
    <w:rsid w:val="00305A2E"/>
    <w:rsid w:val="00314783"/>
    <w:rsid w:val="00320521"/>
    <w:rsid w:val="00320CC9"/>
    <w:rsid w:val="00321D53"/>
    <w:rsid w:val="00326FF3"/>
    <w:rsid w:val="00327C8F"/>
    <w:rsid w:val="00332068"/>
    <w:rsid w:val="00363EE5"/>
    <w:rsid w:val="003718F6"/>
    <w:rsid w:val="00372396"/>
    <w:rsid w:val="00395114"/>
    <w:rsid w:val="003951F8"/>
    <w:rsid w:val="003E0997"/>
    <w:rsid w:val="003E1C3C"/>
    <w:rsid w:val="003E3132"/>
    <w:rsid w:val="003E7F25"/>
    <w:rsid w:val="003F0828"/>
    <w:rsid w:val="003F3DBF"/>
    <w:rsid w:val="003F455D"/>
    <w:rsid w:val="00406B9C"/>
    <w:rsid w:val="0041375B"/>
    <w:rsid w:val="004145D8"/>
    <w:rsid w:val="004176ED"/>
    <w:rsid w:val="004317F6"/>
    <w:rsid w:val="00436A0F"/>
    <w:rsid w:val="004434EA"/>
    <w:rsid w:val="00450662"/>
    <w:rsid w:val="00450AEB"/>
    <w:rsid w:val="004511EF"/>
    <w:rsid w:val="004564BE"/>
    <w:rsid w:val="00460C42"/>
    <w:rsid w:val="004611D6"/>
    <w:rsid w:val="00471A0D"/>
    <w:rsid w:val="004731B8"/>
    <w:rsid w:val="00473448"/>
    <w:rsid w:val="00474C09"/>
    <w:rsid w:val="00481D63"/>
    <w:rsid w:val="004A5C3F"/>
    <w:rsid w:val="004A5FFC"/>
    <w:rsid w:val="004C0D62"/>
    <w:rsid w:val="004C6911"/>
    <w:rsid w:val="004E4619"/>
    <w:rsid w:val="00501B2B"/>
    <w:rsid w:val="00512CB7"/>
    <w:rsid w:val="005165C4"/>
    <w:rsid w:val="00536C0A"/>
    <w:rsid w:val="0055777F"/>
    <w:rsid w:val="00561987"/>
    <w:rsid w:val="00561EC4"/>
    <w:rsid w:val="00573701"/>
    <w:rsid w:val="00590EB7"/>
    <w:rsid w:val="00595495"/>
    <w:rsid w:val="005A5E72"/>
    <w:rsid w:val="005B433C"/>
    <w:rsid w:val="005B45C5"/>
    <w:rsid w:val="005B4B20"/>
    <w:rsid w:val="005C4532"/>
    <w:rsid w:val="005C4D1B"/>
    <w:rsid w:val="005D1F5A"/>
    <w:rsid w:val="005D3D14"/>
    <w:rsid w:val="005E5663"/>
    <w:rsid w:val="00616C42"/>
    <w:rsid w:val="00621B34"/>
    <w:rsid w:val="00627186"/>
    <w:rsid w:val="00632D29"/>
    <w:rsid w:val="00634CA4"/>
    <w:rsid w:val="00634DB9"/>
    <w:rsid w:val="006367FD"/>
    <w:rsid w:val="00661D2A"/>
    <w:rsid w:val="00680F13"/>
    <w:rsid w:val="00680FE3"/>
    <w:rsid w:val="00687C04"/>
    <w:rsid w:val="00693455"/>
    <w:rsid w:val="006A6F36"/>
    <w:rsid w:val="006E37B5"/>
    <w:rsid w:val="006F2DB5"/>
    <w:rsid w:val="006F5BF0"/>
    <w:rsid w:val="00720513"/>
    <w:rsid w:val="00726F6C"/>
    <w:rsid w:val="007347CB"/>
    <w:rsid w:val="00736224"/>
    <w:rsid w:val="00736DE1"/>
    <w:rsid w:val="007429B9"/>
    <w:rsid w:val="007823D5"/>
    <w:rsid w:val="007A0D90"/>
    <w:rsid w:val="007A5098"/>
    <w:rsid w:val="007C798E"/>
    <w:rsid w:val="007F2DA8"/>
    <w:rsid w:val="007F42DB"/>
    <w:rsid w:val="00806F45"/>
    <w:rsid w:val="008110E6"/>
    <w:rsid w:val="00822766"/>
    <w:rsid w:val="00823BFA"/>
    <w:rsid w:val="00830532"/>
    <w:rsid w:val="00837093"/>
    <w:rsid w:val="008370D9"/>
    <w:rsid w:val="00841702"/>
    <w:rsid w:val="00847597"/>
    <w:rsid w:val="00851270"/>
    <w:rsid w:val="0087045D"/>
    <w:rsid w:val="00877AFE"/>
    <w:rsid w:val="0088718F"/>
    <w:rsid w:val="00887EE3"/>
    <w:rsid w:val="008A2F85"/>
    <w:rsid w:val="008A322C"/>
    <w:rsid w:val="008C0CDC"/>
    <w:rsid w:val="008D3515"/>
    <w:rsid w:val="008E7C2E"/>
    <w:rsid w:val="0090046C"/>
    <w:rsid w:val="00903B22"/>
    <w:rsid w:val="00907491"/>
    <w:rsid w:val="00943C6B"/>
    <w:rsid w:val="00967F82"/>
    <w:rsid w:val="009740A9"/>
    <w:rsid w:val="00974DE6"/>
    <w:rsid w:val="00981D4F"/>
    <w:rsid w:val="009826DB"/>
    <w:rsid w:val="00991CD9"/>
    <w:rsid w:val="00996E4B"/>
    <w:rsid w:val="009A4F9D"/>
    <w:rsid w:val="009A7CD2"/>
    <w:rsid w:val="009B1F49"/>
    <w:rsid w:val="009B4E0A"/>
    <w:rsid w:val="009B73D7"/>
    <w:rsid w:val="009C106D"/>
    <w:rsid w:val="009C6C44"/>
    <w:rsid w:val="009D3B1F"/>
    <w:rsid w:val="009E4BE1"/>
    <w:rsid w:val="009F2A97"/>
    <w:rsid w:val="009F4A25"/>
    <w:rsid w:val="009F7B9A"/>
    <w:rsid w:val="00A16A05"/>
    <w:rsid w:val="00A24BBB"/>
    <w:rsid w:val="00A30631"/>
    <w:rsid w:val="00A40559"/>
    <w:rsid w:val="00A45FCA"/>
    <w:rsid w:val="00A46BA4"/>
    <w:rsid w:val="00A52892"/>
    <w:rsid w:val="00A6012B"/>
    <w:rsid w:val="00A6157F"/>
    <w:rsid w:val="00A7184B"/>
    <w:rsid w:val="00A75369"/>
    <w:rsid w:val="00A779BF"/>
    <w:rsid w:val="00A84724"/>
    <w:rsid w:val="00A865F4"/>
    <w:rsid w:val="00A96804"/>
    <w:rsid w:val="00AA1E9E"/>
    <w:rsid w:val="00AB59FE"/>
    <w:rsid w:val="00AC2DD2"/>
    <w:rsid w:val="00AD46CF"/>
    <w:rsid w:val="00AD54CD"/>
    <w:rsid w:val="00AF2811"/>
    <w:rsid w:val="00AF3B4E"/>
    <w:rsid w:val="00B004CF"/>
    <w:rsid w:val="00B07AE3"/>
    <w:rsid w:val="00B118C9"/>
    <w:rsid w:val="00B17F45"/>
    <w:rsid w:val="00B303C8"/>
    <w:rsid w:val="00B3259C"/>
    <w:rsid w:val="00B34DC9"/>
    <w:rsid w:val="00B4415E"/>
    <w:rsid w:val="00B4536B"/>
    <w:rsid w:val="00B61056"/>
    <w:rsid w:val="00B635E4"/>
    <w:rsid w:val="00B67C1D"/>
    <w:rsid w:val="00B7320C"/>
    <w:rsid w:val="00B84379"/>
    <w:rsid w:val="00B9010E"/>
    <w:rsid w:val="00B91A8B"/>
    <w:rsid w:val="00BA5047"/>
    <w:rsid w:val="00BA7E55"/>
    <w:rsid w:val="00BC1EAA"/>
    <w:rsid w:val="00BD124B"/>
    <w:rsid w:val="00BD7595"/>
    <w:rsid w:val="00BE608F"/>
    <w:rsid w:val="00BF4E5D"/>
    <w:rsid w:val="00C06B74"/>
    <w:rsid w:val="00C27569"/>
    <w:rsid w:val="00C32B87"/>
    <w:rsid w:val="00C33C35"/>
    <w:rsid w:val="00C45708"/>
    <w:rsid w:val="00C4700D"/>
    <w:rsid w:val="00C52C97"/>
    <w:rsid w:val="00C626AF"/>
    <w:rsid w:val="00C92480"/>
    <w:rsid w:val="00C947B6"/>
    <w:rsid w:val="00C96F21"/>
    <w:rsid w:val="00CB62B1"/>
    <w:rsid w:val="00CB66B4"/>
    <w:rsid w:val="00CC3EE2"/>
    <w:rsid w:val="00CC783A"/>
    <w:rsid w:val="00CF385F"/>
    <w:rsid w:val="00D01C0E"/>
    <w:rsid w:val="00D075D4"/>
    <w:rsid w:val="00D107E1"/>
    <w:rsid w:val="00D1544C"/>
    <w:rsid w:val="00D24640"/>
    <w:rsid w:val="00D2569C"/>
    <w:rsid w:val="00D35071"/>
    <w:rsid w:val="00D507AE"/>
    <w:rsid w:val="00D81585"/>
    <w:rsid w:val="00D84FC4"/>
    <w:rsid w:val="00D90487"/>
    <w:rsid w:val="00D94931"/>
    <w:rsid w:val="00DA174D"/>
    <w:rsid w:val="00DA1BC2"/>
    <w:rsid w:val="00DB2E50"/>
    <w:rsid w:val="00DB535B"/>
    <w:rsid w:val="00DC0CC1"/>
    <w:rsid w:val="00DC2CAD"/>
    <w:rsid w:val="00DC3DEE"/>
    <w:rsid w:val="00E0509D"/>
    <w:rsid w:val="00E060F1"/>
    <w:rsid w:val="00E12FE6"/>
    <w:rsid w:val="00E26FD8"/>
    <w:rsid w:val="00E312DB"/>
    <w:rsid w:val="00E321A4"/>
    <w:rsid w:val="00E556DE"/>
    <w:rsid w:val="00E93C8B"/>
    <w:rsid w:val="00EA2072"/>
    <w:rsid w:val="00EC2AE6"/>
    <w:rsid w:val="00EC6038"/>
    <w:rsid w:val="00ED14CD"/>
    <w:rsid w:val="00EE4919"/>
    <w:rsid w:val="00EF0E93"/>
    <w:rsid w:val="00F05945"/>
    <w:rsid w:val="00F147CD"/>
    <w:rsid w:val="00F20658"/>
    <w:rsid w:val="00F265B0"/>
    <w:rsid w:val="00F34B78"/>
    <w:rsid w:val="00F53D6F"/>
    <w:rsid w:val="00F642A1"/>
    <w:rsid w:val="00F707C2"/>
    <w:rsid w:val="00F72B0D"/>
    <w:rsid w:val="00F76222"/>
    <w:rsid w:val="00FA51B4"/>
    <w:rsid w:val="00FA7F50"/>
    <w:rsid w:val="00FB2A09"/>
    <w:rsid w:val="00FB73A8"/>
    <w:rsid w:val="00F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3FC4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3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326FF3"/>
    <w:pPr>
      <w:ind w:left="720"/>
      <w:contextualSpacing/>
    </w:pPr>
  </w:style>
  <w:style w:type="character" w:customStyle="1" w:styleId="hps">
    <w:name w:val="hps"/>
    <w:basedOn w:val="a1"/>
    <w:rsid w:val="005B45C5"/>
  </w:style>
  <w:style w:type="table" w:styleId="a5">
    <w:name w:val="Table Grid"/>
    <w:basedOn w:val="a2"/>
    <w:uiPriority w:val="59"/>
    <w:rsid w:val="0009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001629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AA1E9E"/>
    <w:pPr>
      <w:numPr>
        <w:numId w:val="8"/>
      </w:numPr>
      <w:contextualSpacing/>
    </w:pPr>
  </w:style>
  <w:style w:type="character" w:customStyle="1" w:styleId="shorttext">
    <w:name w:val="short_text"/>
    <w:basedOn w:val="a1"/>
    <w:rsid w:val="000F41CF"/>
  </w:style>
  <w:style w:type="paragraph" w:styleId="a7">
    <w:name w:val="Balloon Text"/>
    <w:basedOn w:val="a0"/>
    <w:link w:val="a8"/>
    <w:uiPriority w:val="99"/>
    <w:semiHidden/>
    <w:unhideWhenUsed/>
    <w:rsid w:val="00D8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815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F34B78"/>
  </w:style>
  <w:style w:type="paragraph" w:styleId="a9">
    <w:name w:val="footer"/>
    <w:basedOn w:val="a0"/>
    <w:link w:val="aa"/>
    <w:uiPriority w:val="99"/>
    <w:rsid w:val="00943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943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3C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A4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A45F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3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6FF3"/>
    <w:pPr>
      <w:ind w:left="720"/>
      <w:contextualSpacing/>
    </w:pPr>
  </w:style>
  <w:style w:type="character" w:customStyle="1" w:styleId="hps">
    <w:name w:val="hps"/>
    <w:basedOn w:val="a0"/>
    <w:rsid w:val="005B4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regulatio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ulation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E842-2D4C-4B16-BDF6-DACF4C6A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 Group</Company>
  <LinksUpToDate>false</LinksUpToDate>
  <CharactersWithSpaces>22141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ru0091</dc:creator>
  <cp:lastModifiedBy>semen.barkov</cp:lastModifiedBy>
  <cp:revision>2</cp:revision>
  <cp:lastPrinted>2016-06-24T06:03:00Z</cp:lastPrinted>
  <dcterms:created xsi:type="dcterms:W3CDTF">2016-06-29T08:03:00Z</dcterms:created>
  <dcterms:modified xsi:type="dcterms:W3CDTF">2016-06-29T08:03:00Z</dcterms:modified>
</cp:coreProperties>
</file>