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267" w:rsidRDefault="009B2267" w:rsidP="001D3FC4">
      <w:pPr>
        <w:pStyle w:val="ConsPlusNonformat"/>
        <w:jc w:val="center"/>
        <w:rPr>
          <w:rFonts w:ascii="LindeDaxOffice_russian" w:hAnsi="LindeDaxOffice_russian" w:cs="Times New Roman"/>
          <w:b/>
          <w:color w:val="000000"/>
          <w:sz w:val="28"/>
          <w:szCs w:val="28"/>
          <w:lang w:val="en-US"/>
        </w:rPr>
      </w:pPr>
      <w:r w:rsidRPr="009B2267">
        <w:rPr>
          <w:rFonts w:ascii="LindeDaxOffice_russian" w:hAnsi="LindeDaxOffice_russian" w:cs="Times New Roman"/>
          <w:b/>
          <w:noProof/>
          <w:color w:val="000000"/>
          <w:sz w:val="28"/>
          <w:szCs w:val="28"/>
        </w:rPr>
        <w:drawing>
          <wp:inline distT="0" distB="0" distL="0" distR="0">
            <wp:extent cx="5940425" cy="961357"/>
            <wp:effectExtent l="19050" t="19050" r="22225" b="10193"/>
            <wp:docPr id="3" name="Рисунок 2" descr="Снимок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 descr="Снимок.PN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61357"/>
                    </a:xfrm>
                    <a:prstGeom prst="rect">
                      <a:avLst/>
                    </a:prstGeom>
                    <a:ln>
                      <a:solidFill>
                        <a:schemeClr val="bg1"/>
                      </a:solidFill>
                    </a:ln>
                  </pic:spPr>
                </pic:pic>
              </a:graphicData>
            </a:graphic>
          </wp:inline>
        </w:drawing>
      </w:r>
    </w:p>
    <w:p w:rsidR="009B2267" w:rsidRDefault="009B2267" w:rsidP="001D3FC4">
      <w:pPr>
        <w:pStyle w:val="ConsPlusNonformat"/>
        <w:jc w:val="center"/>
        <w:rPr>
          <w:rFonts w:ascii="LindeDaxOffice_russian" w:hAnsi="LindeDaxOffice_russian" w:cs="Times New Roman"/>
          <w:b/>
          <w:color w:val="000000"/>
          <w:sz w:val="28"/>
          <w:szCs w:val="28"/>
          <w:lang w:val="en-US"/>
        </w:rPr>
      </w:pPr>
    </w:p>
    <w:tbl>
      <w:tblPr>
        <w:tblStyle w:val="a5"/>
        <w:tblW w:w="155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031"/>
        <w:gridCol w:w="5477"/>
      </w:tblGrid>
      <w:tr w:rsidR="000959CC" w:rsidTr="00166C0D">
        <w:tc>
          <w:tcPr>
            <w:tcW w:w="10031" w:type="dxa"/>
          </w:tcPr>
          <w:p w:rsidR="00C96F21" w:rsidRPr="009F2A97" w:rsidRDefault="00C96F21" w:rsidP="00327C8F">
            <w:pPr>
              <w:jc w:val="both"/>
              <w:rPr>
                <w:rFonts w:ascii="LindeDaxOffice_russian" w:hAnsi="LindeDaxOffice_russian"/>
                <w:b/>
                <w:sz w:val="28"/>
                <w:szCs w:val="28"/>
                <w:u w:val="single"/>
              </w:rPr>
            </w:pPr>
          </w:p>
        </w:tc>
        <w:tc>
          <w:tcPr>
            <w:tcW w:w="5477" w:type="dxa"/>
          </w:tcPr>
          <w:p w:rsidR="00327C8F" w:rsidRPr="00327C8F" w:rsidRDefault="00327C8F" w:rsidP="00AA1E9E">
            <w:pPr>
              <w:jc w:val="center"/>
              <w:rPr>
                <w:rFonts w:ascii="LindeDaxOffice_russian" w:hAnsi="LindeDaxOffice_russian"/>
                <w:sz w:val="24"/>
                <w:szCs w:val="24"/>
                <w:lang w:val="en-US"/>
              </w:rPr>
            </w:pPr>
          </w:p>
        </w:tc>
      </w:tr>
      <w:tr w:rsidR="00327C8F" w:rsidRPr="00575138" w:rsidTr="00166C0D">
        <w:tc>
          <w:tcPr>
            <w:tcW w:w="10031" w:type="dxa"/>
          </w:tcPr>
          <w:p w:rsidR="00EC3441" w:rsidRPr="001A4560" w:rsidRDefault="00EC3441" w:rsidP="009D32D9">
            <w:pPr>
              <w:jc w:val="center"/>
              <w:rPr>
                <w:rFonts w:ascii="LindeDaxOffice_russian" w:hAnsi="LindeDaxOffice_russian"/>
                <w:sz w:val="24"/>
                <w:szCs w:val="24"/>
              </w:rPr>
            </w:pPr>
          </w:p>
        </w:tc>
        <w:tc>
          <w:tcPr>
            <w:tcW w:w="5477" w:type="dxa"/>
          </w:tcPr>
          <w:p w:rsidR="00327C8F" w:rsidRPr="00166C0D" w:rsidRDefault="00327C8F" w:rsidP="00AA1E9E">
            <w:pPr>
              <w:jc w:val="center"/>
              <w:rPr>
                <w:rFonts w:ascii="LindeDaxOffice_russian" w:hAnsi="LindeDaxOffice_russian"/>
                <w:b/>
                <w:sz w:val="28"/>
                <w:szCs w:val="28"/>
                <w:u w:val="single"/>
              </w:rPr>
            </w:pPr>
          </w:p>
        </w:tc>
      </w:tr>
      <w:tr w:rsidR="00327C8F" w:rsidRPr="00575138" w:rsidTr="00166C0D">
        <w:tc>
          <w:tcPr>
            <w:tcW w:w="10031" w:type="dxa"/>
          </w:tcPr>
          <w:p w:rsidR="00327C8F" w:rsidRPr="00241B66" w:rsidRDefault="00327C8F" w:rsidP="009D32D9">
            <w:pPr>
              <w:jc w:val="center"/>
              <w:rPr>
                <w:rFonts w:ascii="LindeDaxOffice_russian" w:hAnsi="LindeDaxOffice_russian"/>
                <w:sz w:val="24"/>
                <w:szCs w:val="24"/>
              </w:rPr>
            </w:pPr>
          </w:p>
        </w:tc>
        <w:tc>
          <w:tcPr>
            <w:tcW w:w="5477" w:type="dxa"/>
          </w:tcPr>
          <w:p w:rsidR="00327C8F" w:rsidRPr="00166C0D" w:rsidRDefault="00327C8F" w:rsidP="000E295E">
            <w:pPr>
              <w:jc w:val="both"/>
              <w:rPr>
                <w:rFonts w:ascii="LindeDaxOffice_russian" w:hAnsi="LindeDaxOffice_russian"/>
                <w:sz w:val="24"/>
                <w:szCs w:val="24"/>
              </w:rPr>
            </w:pPr>
          </w:p>
        </w:tc>
      </w:tr>
      <w:tr w:rsidR="00436A0F" w:rsidTr="00166C0D">
        <w:tc>
          <w:tcPr>
            <w:tcW w:w="10031" w:type="dxa"/>
          </w:tcPr>
          <w:p w:rsidR="00680FE3" w:rsidRPr="006E37B5" w:rsidRDefault="00680FE3" w:rsidP="009D32D9">
            <w:pPr>
              <w:jc w:val="center"/>
              <w:rPr>
                <w:rFonts w:ascii="LindeDaxOffice_russian" w:hAnsi="LindeDaxOffice_russian"/>
                <w:b/>
                <w:sz w:val="28"/>
                <w:szCs w:val="28"/>
                <w:u w:val="single"/>
              </w:rPr>
            </w:pPr>
          </w:p>
        </w:tc>
        <w:tc>
          <w:tcPr>
            <w:tcW w:w="5477" w:type="dxa"/>
          </w:tcPr>
          <w:p w:rsidR="00436A0F" w:rsidRPr="00436A0F" w:rsidRDefault="00436A0F" w:rsidP="00716C58">
            <w:pPr>
              <w:jc w:val="center"/>
              <w:rPr>
                <w:rFonts w:ascii="LindeDaxOffice_russian" w:hAnsi="LindeDaxOffice_russian"/>
                <w:b/>
                <w:sz w:val="28"/>
                <w:szCs w:val="28"/>
                <w:u w:val="single"/>
              </w:rPr>
            </w:pPr>
          </w:p>
        </w:tc>
      </w:tr>
      <w:tr w:rsidR="00436A0F" w:rsidRPr="00D36CBD" w:rsidTr="00166C0D">
        <w:trPr>
          <w:trHeight w:val="5948"/>
        </w:trPr>
        <w:tc>
          <w:tcPr>
            <w:tcW w:w="10031" w:type="dxa"/>
          </w:tcPr>
          <w:p w:rsidR="009D32D9" w:rsidRPr="00321305" w:rsidRDefault="009D32D9" w:rsidP="009D32D9">
            <w:pPr>
              <w:jc w:val="center"/>
              <w:rPr>
                <w:rFonts w:ascii="LindeDaxOffice_russian" w:hAnsi="LindeDaxOffice_russian"/>
                <w:b/>
                <w:sz w:val="28"/>
                <w:szCs w:val="28"/>
              </w:rPr>
            </w:pPr>
            <w:bookmarkStart w:id="0" w:name="_GoBack"/>
            <w:bookmarkEnd w:id="0"/>
            <w:r w:rsidRPr="00321305">
              <w:rPr>
                <w:rFonts w:ascii="LindeDaxOffice_russian" w:hAnsi="LindeDaxOffice_russian"/>
                <w:b/>
                <w:sz w:val="28"/>
                <w:szCs w:val="28"/>
              </w:rPr>
              <w:t xml:space="preserve">План работы  секции  </w:t>
            </w:r>
            <w:r>
              <w:rPr>
                <w:rFonts w:ascii="LindeDaxOffice_russian" w:hAnsi="LindeDaxOffice_russian"/>
                <w:b/>
                <w:sz w:val="28"/>
                <w:szCs w:val="28"/>
                <w:lang w:val="en-US"/>
              </w:rPr>
              <w:t>Cylinders</w:t>
            </w:r>
            <w:r w:rsidRPr="00321305">
              <w:rPr>
                <w:rFonts w:ascii="LindeDaxOffice_russian" w:hAnsi="LindeDaxOffice_russian"/>
                <w:b/>
                <w:sz w:val="28"/>
                <w:szCs w:val="28"/>
              </w:rPr>
              <w:t xml:space="preserve"> для обсуждения в рамках АПМГ</w:t>
            </w:r>
            <w:r w:rsidRPr="009D32D9">
              <w:rPr>
                <w:rFonts w:ascii="LindeDaxOffice_russian" w:hAnsi="LindeDaxOffice_russian"/>
                <w:b/>
                <w:sz w:val="28"/>
                <w:szCs w:val="28"/>
              </w:rPr>
              <w:t xml:space="preserve"> </w:t>
            </w:r>
            <w:r>
              <w:rPr>
                <w:rFonts w:ascii="LindeDaxOffice_russian" w:hAnsi="LindeDaxOffice_russian"/>
                <w:b/>
                <w:sz w:val="28"/>
                <w:szCs w:val="28"/>
              </w:rPr>
              <w:t>на</w:t>
            </w:r>
            <w:r w:rsidRPr="009D32D9">
              <w:rPr>
                <w:rFonts w:ascii="LindeDaxOffice_russian" w:hAnsi="LindeDaxOffice_russian"/>
                <w:b/>
                <w:sz w:val="28"/>
                <w:szCs w:val="28"/>
              </w:rPr>
              <w:t xml:space="preserve"> 2015-2016</w:t>
            </w:r>
            <w:r>
              <w:rPr>
                <w:rFonts w:ascii="LindeDaxOffice_russian" w:hAnsi="LindeDaxOffice_russian"/>
                <w:b/>
                <w:sz w:val="28"/>
                <w:szCs w:val="28"/>
              </w:rPr>
              <w:t xml:space="preserve"> гг.</w:t>
            </w:r>
          </w:p>
          <w:p w:rsidR="009D32D9" w:rsidRPr="00A80A24" w:rsidRDefault="009D32D9" w:rsidP="009D32D9">
            <w:pPr>
              <w:jc w:val="center"/>
              <w:rPr>
                <w:rFonts w:ascii="LindeDaxOffice_russian" w:hAnsi="LindeDaxOffice_russian"/>
              </w:rPr>
            </w:pPr>
          </w:p>
          <w:tbl>
            <w:tblPr>
              <w:tblStyle w:val="a5"/>
              <w:tblW w:w="0" w:type="auto"/>
              <w:tblLook w:val="04A0"/>
            </w:tblPr>
            <w:tblGrid>
              <w:gridCol w:w="573"/>
              <w:gridCol w:w="2831"/>
              <w:gridCol w:w="6167"/>
            </w:tblGrid>
            <w:tr w:rsidR="009D32D9" w:rsidRPr="00A80A24" w:rsidTr="00291BD3">
              <w:tc>
                <w:tcPr>
                  <w:tcW w:w="573" w:type="dxa"/>
                </w:tcPr>
                <w:p w:rsidR="009D32D9" w:rsidRPr="00A80A24" w:rsidRDefault="009D32D9" w:rsidP="009D32D9">
                  <w:pPr>
                    <w:jc w:val="center"/>
                    <w:rPr>
                      <w:rFonts w:ascii="LindeDaxOffice_russian" w:hAnsi="LindeDaxOffice_russian"/>
                    </w:rPr>
                  </w:pPr>
                  <w:r w:rsidRPr="00A80A24">
                    <w:rPr>
                      <w:rFonts w:ascii="LindeDaxOffice_russian" w:hAnsi="LindeDaxOffice_russian"/>
                    </w:rPr>
                    <w:t xml:space="preserve">№ </w:t>
                  </w:r>
                  <w:proofErr w:type="spellStart"/>
                  <w:proofErr w:type="gramStart"/>
                  <w:r w:rsidRPr="00A80A24">
                    <w:rPr>
                      <w:rFonts w:ascii="LindeDaxOffice_russian" w:hAnsi="LindeDaxOffice_russian"/>
                    </w:rPr>
                    <w:t>п</w:t>
                  </w:r>
                  <w:proofErr w:type="spellEnd"/>
                  <w:proofErr w:type="gramEnd"/>
                  <w:r w:rsidRPr="00A80A24">
                    <w:rPr>
                      <w:rFonts w:ascii="LindeDaxOffice_russian" w:hAnsi="LindeDaxOffice_russian"/>
                    </w:rPr>
                    <w:t>/</w:t>
                  </w:r>
                  <w:proofErr w:type="spellStart"/>
                  <w:r w:rsidRPr="00A80A24">
                    <w:rPr>
                      <w:rFonts w:ascii="LindeDaxOffice_russian" w:hAnsi="LindeDaxOffice_russian"/>
                    </w:rPr>
                    <w:t>п</w:t>
                  </w:r>
                  <w:proofErr w:type="spellEnd"/>
                </w:p>
              </w:tc>
              <w:tc>
                <w:tcPr>
                  <w:tcW w:w="2831" w:type="dxa"/>
                  <w:vAlign w:val="center"/>
                </w:tcPr>
                <w:p w:rsidR="009D32D9" w:rsidRPr="00A80A24" w:rsidRDefault="009D32D9" w:rsidP="009D32D9">
                  <w:pPr>
                    <w:jc w:val="center"/>
                    <w:rPr>
                      <w:rFonts w:ascii="LindeDaxOffice_russian" w:hAnsi="LindeDaxOffice_russian"/>
                    </w:rPr>
                  </w:pPr>
                  <w:r w:rsidRPr="00A80A24">
                    <w:rPr>
                      <w:rFonts w:ascii="LindeDaxOffice_russian" w:hAnsi="LindeDaxOffice_russian"/>
                    </w:rPr>
                    <w:t>Тема</w:t>
                  </w:r>
                </w:p>
              </w:tc>
              <w:tc>
                <w:tcPr>
                  <w:tcW w:w="6167" w:type="dxa"/>
                  <w:vAlign w:val="center"/>
                </w:tcPr>
                <w:p w:rsidR="009D32D9" w:rsidRPr="00A80A24" w:rsidRDefault="009D32D9" w:rsidP="009D32D9">
                  <w:pPr>
                    <w:jc w:val="center"/>
                    <w:rPr>
                      <w:rFonts w:ascii="LindeDaxOffice_russian" w:hAnsi="LindeDaxOffice_russian"/>
                    </w:rPr>
                  </w:pPr>
                  <w:r w:rsidRPr="00A80A24">
                    <w:rPr>
                      <w:rFonts w:ascii="LindeDaxOffice_russian" w:hAnsi="LindeDaxOffice_russian"/>
                    </w:rPr>
                    <w:t>Описание</w:t>
                  </w:r>
                </w:p>
              </w:tc>
            </w:tr>
            <w:tr w:rsidR="009D32D9" w:rsidRPr="00A80A24" w:rsidTr="00291BD3">
              <w:trPr>
                <w:trHeight w:val="402"/>
              </w:trPr>
              <w:tc>
                <w:tcPr>
                  <w:tcW w:w="573" w:type="dxa"/>
                </w:tcPr>
                <w:p w:rsidR="009D32D9" w:rsidRPr="00A80A24" w:rsidRDefault="009D32D9" w:rsidP="009D32D9">
                  <w:pPr>
                    <w:jc w:val="center"/>
                    <w:rPr>
                      <w:rFonts w:ascii="LindeDaxOffice_russian" w:hAnsi="LindeDaxOffice_russian"/>
                    </w:rPr>
                  </w:pPr>
                  <w:r w:rsidRPr="00A80A24">
                    <w:rPr>
                      <w:rFonts w:ascii="LindeDaxOffice_russian" w:hAnsi="LindeDaxOffice_russian"/>
                    </w:rPr>
                    <w:t>1</w:t>
                  </w:r>
                </w:p>
              </w:tc>
              <w:tc>
                <w:tcPr>
                  <w:tcW w:w="2831" w:type="dxa"/>
                </w:tcPr>
                <w:p w:rsidR="009D32D9" w:rsidRPr="00536DB5" w:rsidRDefault="009D32D9" w:rsidP="009D32D9">
                  <w:pPr>
                    <w:jc w:val="center"/>
                    <w:rPr>
                      <w:rFonts w:ascii="LindeDaxOffice_russian" w:hAnsi="LindeDaxOffice_russi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LindeDaxOffice_russian" w:hAnsi="LindeDaxOffice_russian"/>
                      <w:sz w:val="24"/>
                      <w:szCs w:val="24"/>
                      <w:lang w:val="en-US"/>
                    </w:rPr>
                    <w:t>SHEQ</w:t>
                  </w:r>
                </w:p>
              </w:tc>
              <w:tc>
                <w:tcPr>
                  <w:tcW w:w="6167" w:type="dxa"/>
                </w:tcPr>
                <w:p w:rsidR="009D32D9" w:rsidRPr="00321305" w:rsidRDefault="009D32D9" w:rsidP="009D32D9">
                  <w:pPr>
                    <w:jc w:val="center"/>
                    <w:rPr>
                      <w:rFonts w:ascii="LindeDaxOffice_russian" w:hAnsi="LindeDaxOffice_russian"/>
                      <w:sz w:val="24"/>
                      <w:szCs w:val="24"/>
                    </w:rPr>
                  </w:pPr>
                  <w:r>
                    <w:rPr>
                      <w:rFonts w:ascii="LindeDaxOffice_russian" w:hAnsi="LindeDaxOffice_russian" w:cs="Arial"/>
                      <w:sz w:val="24"/>
                      <w:szCs w:val="24"/>
                    </w:rPr>
                    <w:t>Обмен опытом, уроки из инцидентов</w:t>
                  </w:r>
                </w:p>
              </w:tc>
            </w:tr>
            <w:tr w:rsidR="009D32D9" w:rsidRPr="00A80A24" w:rsidTr="00291BD3">
              <w:tc>
                <w:tcPr>
                  <w:tcW w:w="573" w:type="dxa"/>
                </w:tcPr>
                <w:p w:rsidR="009D32D9" w:rsidRPr="00A06260" w:rsidRDefault="009D32D9" w:rsidP="009D32D9">
                  <w:pPr>
                    <w:jc w:val="center"/>
                    <w:rPr>
                      <w:rFonts w:ascii="LindeDaxOffice_russian" w:hAnsi="LindeDaxOffice_russian" w:cs="Arial"/>
                      <w:sz w:val="24"/>
                      <w:szCs w:val="24"/>
                    </w:rPr>
                  </w:pPr>
                  <w:r w:rsidRPr="00A06260">
                    <w:rPr>
                      <w:rFonts w:ascii="LindeDaxOffice_russian" w:hAnsi="LindeDaxOffice_russian" w:cs="Arial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831" w:type="dxa"/>
                </w:tcPr>
                <w:p w:rsidR="009D32D9" w:rsidRPr="00A06260" w:rsidRDefault="009D32D9" w:rsidP="009D32D9">
                  <w:pPr>
                    <w:jc w:val="center"/>
                    <w:rPr>
                      <w:rFonts w:ascii="LindeDaxOffice_russian" w:hAnsi="LindeDaxOffice_russian" w:cs="Arial"/>
                      <w:sz w:val="24"/>
                      <w:szCs w:val="24"/>
                    </w:rPr>
                  </w:pPr>
                  <w:r w:rsidRPr="00A06260">
                    <w:rPr>
                      <w:rFonts w:ascii="LindeDaxOffice_russian" w:hAnsi="LindeDaxOffice_russian" w:cs="Arial"/>
                      <w:sz w:val="24"/>
                      <w:szCs w:val="24"/>
                    </w:rPr>
                    <w:t>Собственность баллонов</w:t>
                  </w:r>
                </w:p>
              </w:tc>
              <w:tc>
                <w:tcPr>
                  <w:tcW w:w="6167" w:type="dxa"/>
                </w:tcPr>
                <w:p w:rsidR="009D32D9" w:rsidRPr="00A06260" w:rsidRDefault="009D32D9" w:rsidP="009D32D9">
                  <w:pPr>
                    <w:jc w:val="center"/>
                    <w:rPr>
                      <w:rFonts w:ascii="LindeDaxOffice_russian" w:hAnsi="LindeDaxOffice_russian" w:cs="Arial"/>
                      <w:sz w:val="24"/>
                      <w:szCs w:val="24"/>
                    </w:rPr>
                  </w:pPr>
                  <w:r w:rsidRPr="00A06260">
                    <w:rPr>
                      <w:rFonts w:ascii="LindeDaxOffice_russian" w:hAnsi="LindeDaxOffice_russian" w:cs="Arial"/>
                      <w:sz w:val="24"/>
                      <w:szCs w:val="24"/>
                    </w:rPr>
                    <w:t>Внедрение на территории России модели "собственника баллонов".</w:t>
                  </w:r>
                </w:p>
              </w:tc>
            </w:tr>
            <w:tr w:rsidR="009D32D9" w:rsidRPr="00A80A24" w:rsidTr="00291BD3">
              <w:tc>
                <w:tcPr>
                  <w:tcW w:w="573" w:type="dxa"/>
                </w:tcPr>
                <w:p w:rsidR="009D32D9" w:rsidRPr="00A06260" w:rsidRDefault="009D32D9" w:rsidP="009D32D9">
                  <w:pPr>
                    <w:jc w:val="center"/>
                    <w:rPr>
                      <w:rFonts w:ascii="LindeDaxOffice_russian" w:hAnsi="LindeDaxOffice_russian" w:cs="Arial"/>
                      <w:sz w:val="24"/>
                      <w:szCs w:val="24"/>
                    </w:rPr>
                  </w:pPr>
                  <w:r>
                    <w:rPr>
                      <w:rFonts w:ascii="LindeDaxOffice_russian" w:hAnsi="LindeDaxOffice_russian" w:cs="Arial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831" w:type="dxa"/>
                </w:tcPr>
                <w:p w:rsidR="009D32D9" w:rsidRPr="00A06260" w:rsidRDefault="009D32D9" w:rsidP="009D32D9">
                  <w:pPr>
                    <w:jc w:val="center"/>
                    <w:rPr>
                      <w:rFonts w:ascii="LindeDaxOffice_russian" w:hAnsi="LindeDaxOffice_russian" w:cs="Arial"/>
                      <w:sz w:val="24"/>
                      <w:szCs w:val="24"/>
                    </w:rPr>
                  </w:pPr>
                  <w:r w:rsidRPr="00A06260">
                    <w:rPr>
                      <w:rFonts w:ascii="LindeDaxOffice_russian" w:hAnsi="LindeDaxOffice_russian" w:cs="Arial"/>
                      <w:sz w:val="24"/>
                      <w:szCs w:val="24"/>
                    </w:rPr>
                    <w:t>Типовой баллон 50 литров 200 бар</w:t>
                  </w:r>
                </w:p>
              </w:tc>
              <w:tc>
                <w:tcPr>
                  <w:tcW w:w="6167" w:type="dxa"/>
                </w:tcPr>
                <w:p w:rsidR="009D32D9" w:rsidRPr="00A06260" w:rsidRDefault="009D32D9" w:rsidP="009D32D9">
                  <w:pPr>
                    <w:jc w:val="center"/>
                    <w:rPr>
                      <w:rFonts w:ascii="LindeDaxOffice_russian" w:hAnsi="LindeDaxOffice_russian" w:cs="Arial"/>
                      <w:sz w:val="24"/>
                      <w:szCs w:val="24"/>
                    </w:rPr>
                  </w:pPr>
                  <w:r w:rsidRPr="00A06260">
                    <w:rPr>
                      <w:rFonts w:ascii="LindeDaxOffice_russian" w:hAnsi="LindeDaxOffice_russian" w:cs="Arial"/>
                      <w:sz w:val="24"/>
                      <w:szCs w:val="24"/>
                    </w:rPr>
                    <w:t>Утверждение технических характеристик «универсального» баллона 50 литров, 200 бар для российских производителей.</w:t>
                  </w:r>
                </w:p>
              </w:tc>
            </w:tr>
            <w:tr w:rsidR="009D32D9" w:rsidRPr="00A80A24" w:rsidTr="00291BD3">
              <w:tc>
                <w:tcPr>
                  <w:tcW w:w="573" w:type="dxa"/>
                </w:tcPr>
                <w:p w:rsidR="009D32D9" w:rsidRPr="00A80A24" w:rsidRDefault="009D32D9" w:rsidP="009D32D9">
                  <w:pPr>
                    <w:jc w:val="center"/>
                    <w:rPr>
                      <w:rFonts w:ascii="LindeDaxOffice_russian" w:hAnsi="LindeDaxOffice_russian"/>
                    </w:rPr>
                  </w:pPr>
                  <w:r>
                    <w:rPr>
                      <w:rFonts w:ascii="LindeDaxOffice_russian" w:hAnsi="LindeDaxOffice_russian"/>
                    </w:rPr>
                    <w:t>4</w:t>
                  </w:r>
                </w:p>
              </w:tc>
              <w:tc>
                <w:tcPr>
                  <w:tcW w:w="2831" w:type="dxa"/>
                </w:tcPr>
                <w:p w:rsidR="009D32D9" w:rsidRDefault="009D32D9" w:rsidP="009D32D9">
                  <w:pPr>
                    <w:jc w:val="center"/>
                    <w:rPr>
                      <w:rFonts w:ascii="LindeDaxOffice_russian" w:hAnsi="LindeDaxOffice_russian"/>
                      <w:sz w:val="24"/>
                      <w:szCs w:val="24"/>
                    </w:rPr>
                  </w:pPr>
                  <w:r>
                    <w:rPr>
                      <w:rFonts w:ascii="LindeDaxOffice_russian" w:hAnsi="LindeDaxOffice_russian"/>
                      <w:sz w:val="24"/>
                      <w:szCs w:val="24"/>
                    </w:rPr>
                    <w:t>Вопросы разработки новых стандартов</w:t>
                  </w:r>
                </w:p>
                <w:p w:rsidR="009D32D9" w:rsidRPr="00321305" w:rsidRDefault="009D32D9" w:rsidP="009D32D9">
                  <w:pPr>
                    <w:jc w:val="center"/>
                    <w:rPr>
                      <w:rFonts w:ascii="LindeDaxOffice_russian" w:hAnsi="LindeDaxOffice_russian"/>
                      <w:sz w:val="24"/>
                      <w:szCs w:val="24"/>
                    </w:rPr>
                  </w:pPr>
                </w:p>
              </w:tc>
              <w:tc>
                <w:tcPr>
                  <w:tcW w:w="6167" w:type="dxa"/>
                </w:tcPr>
                <w:p w:rsidR="009D32D9" w:rsidRPr="00321305" w:rsidRDefault="009D32D9" w:rsidP="009D32D9">
                  <w:pPr>
                    <w:jc w:val="center"/>
                    <w:rPr>
                      <w:rFonts w:ascii="LindeDaxOffice_russian" w:hAnsi="LindeDaxOffice_russian"/>
                      <w:sz w:val="24"/>
                      <w:szCs w:val="24"/>
                    </w:rPr>
                  </w:pPr>
                  <w:r>
                    <w:rPr>
                      <w:rFonts w:ascii="LindeDaxOffice_russian" w:hAnsi="LindeDaxOffice_russian" w:cs="Arial"/>
                      <w:sz w:val="24"/>
                      <w:szCs w:val="24"/>
                    </w:rPr>
                    <w:t>Участие ассоциации в вопросах подготовки новых стандартов, в т.ч. б</w:t>
                  </w:r>
                  <w:r w:rsidRPr="000934EB">
                    <w:rPr>
                      <w:rFonts w:ascii="LindeDaxOffice_russian" w:hAnsi="LindeDaxOffice_russian" w:cs="Arial"/>
                      <w:sz w:val="24"/>
                      <w:szCs w:val="24"/>
                    </w:rPr>
                    <w:t>аллонная арматура</w:t>
                  </w:r>
                  <w:r>
                    <w:rPr>
                      <w:rFonts w:ascii="LindeDaxOffice_russian" w:hAnsi="LindeDaxOffice_russian" w:cs="Arial"/>
                      <w:sz w:val="24"/>
                      <w:szCs w:val="24"/>
                    </w:rPr>
                    <w:t xml:space="preserve"> (RPV </w:t>
                  </w:r>
                  <w:proofErr w:type="spellStart"/>
                  <w:r>
                    <w:rPr>
                      <w:rFonts w:ascii="LindeDaxOffice_russian" w:hAnsi="LindeDaxOffice_russian" w:cs="Arial"/>
                      <w:sz w:val="24"/>
                      <w:szCs w:val="24"/>
                    </w:rPr>
                    <w:t>for</w:t>
                  </w:r>
                  <w:proofErr w:type="spellEnd"/>
                  <w:r>
                    <w:rPr>
                      <w:rFonts w:ascii="LindeDaxOffice_russian" w:hAnsi="LindeDaxOffice_russian" w:cs="Arial"/>
                      <w:sz w:val="24"/>
                      <w:szCs w:val="24"/>
                    </w:rPr>
                    <w:t xml:space="preserve"> O2 </w:t>
                  </w:r>
                  <w:proofErr w:type="spellStart"/>
                  <w:r>
                    <w:rPr>
                      <w:rFonts w:ascii="LindeDaxOffice_russian" w:hAnsi="LindeDaxOffice_russian" w:cs="Arial"/>
                      <w:sz w:val="24"/>
                      <w:szCs w:val="24"/>
                    </w:rPr>
                    <w:t>med</w:t>
                  </w:r>
                  <w:proofErr w:type="spellEnd"/>
                  <w:r>
                    <w:rPr>
                      <w:rFonts w:ascii="LindeDaxOffice_russian" w:hAnsi="LindeDaxOffice_russian" w:cs="Arial"/>
                      <w:sz w:val="24"/>
                      <w:szCs w:val="24"/>
                    </w:rPr>
                    <w:t>, резьбы)</w:t>
                  </w:r>
                </w:p>
              </w:tc>
            </w:tr>
            <w:tr w:rsidR="009D32D9" w:rsidRPr="00A80A24" w:rsidTr="00291BD3">
              <w:tc>
                <w:tcPr>
                  <w:tcW w:w="573" w:type="dxa"/>
                </w:tcPr>
                <w:p w:rsidR="009D32D9" w:rsidRPr="00A80A24" w:rsidRDefault="009D32D9" w:rsidP="009D32D9">
                  <w:pPr>
                    <w:jc w:val="center"/>
                    <w:rPr>
                      <w:rFonts w:ascii="LindeDaxOffice_russian" w:hAnsi="LindeDaxOffice_russian"/>
                    </w:rPr>
                  </w:pPr>
                  <w:r>
                    <w:rPr>
                      <w:rFonts w:ascii="LindeDaxOffice_russian" w:hAnsi="LindeDaxOffice_russian"/>
                    </w:rPr>
                    <w:t>5</w:t>
                  </w:r>
                </w:p>
              </w:tc>
              <w:tc>
                <w:tcPr>
                  <w:tcW w:w="2831" w:type="dxa"/>
                </w:tcPr>
                <w:p w:rsidR="009D32D9" w:rsidRPr="00321305" w:rsidRDefault="009D32D9" w:rsidP="009D32D9">
                  <w:pPr>
                    <w:jc w:val="center"/>
                    <w:rPr>
                      <w:rFonts w:ascii="LindeDaxOffice_russian" w:hAnsi="LindeDaxOffice_russian"/>
                      <w:sz w:val="24"/>
                      <w:szCs w:val="24"/>
                    </w:rPr>
                  </w:pPr>
                  <w:r>
                    <w:rPr>
                      <w:rFonts w:ascii="LindeDaxOffice_russian" w:hAnsi="LindeDaxOffice_russian"/>
                      <w:sz w:val="24"/>
                      <w:szCs w:val="24"/>
                    </w:rPr>
                    <w:t>Методика проведения ТО импортных баллонов</w:t>
                  </w:r>
                </w:p>
              </w:tc>
              <w:tc>
                <w:tcPr>
                  <w:tcW w:w="6167" w:type="dxa"/>
                </w:tcPr>
                <w:p w:rsidR="009D32D9" w:rsidRPr="00321305" w:rsidRDefault="009D32D9" w:rsidP="009D32D9">
                  <w:pPr>
                    <w:jc w:val="center"/>
                    <w:rPr>
                      <w:rFonts w:ascii="LindeDaxOffice_russian" w:hAnsi="LindeDaxOffice_russian"/>
                      <w:sz w:val="24"/>
                      <w:szCs w:val="24"/>
                    </w:rPr>
                  </w:pPr>
                  <w:r>
                    <w:rPr>
                      <w:rFonts w:ascii="LindeDaxOffice_russian" w:hAnsi="LindeDaxOffice_russian" w:cs="Arial"/>
                      <w:sz w:val="24"/>
                      <w:szCs w:val="24"/>
                    </w:rPr>
                    <w:t xml:space="preserve">Внедрение EU стандартов проведения ТО баллонов (период, методы, АСЕ и </w:t>
                  </w:r>
                  <w:proofErr w:type="spellStart"/>
                  <w:proofErr w:type="gramStart"/>
                  <w:r>
                    <w:rPr>
                      <w:rFonts w:ascii="LindeDaxOffice_russian" w:hAnsi="LindeDaxOffice_russian" w:cs="Arial"/>
                      <w:sz w:val="24"/>
                      <w:szCs w:val="24"/>
                    </w:rPr>
                    <w:t>пр</w:t>
                  </w:r>
                  <w:proofErr w:type="spellEnd"/>
                  <w:proofErr w:type="gramEnd"/>
                  <w:r>
                    <w:rPr>
                      <w:rFonts w:ascii="LindeDaxOffice_russian" w:hAnsi="LindeDaxOffice_russian" w:cs="Arial"/>
                      <w:sz w:val="24"/>
                      <w:szCs w:val="24"/>
                    </w:rPr>
                    <w:t>)</w:t>
                  </w:r>
                </w:p>
              </w:tc>
            </w:tr>
            <w:tr w:rsidR="009D32D9" w:rsidRPr="00A80A24" w:rsidTr="00291BD3">
              <w:tc>
                <w:tcPr>
                  <w:tcW w:w="573" w:type="dxa"/>
                </w:tcPr>
                <w:p w:rsidR="009D32D9" w:rsidRPr="00A80A24" w:rsidRDefault="009D32D9" w:rsidP="009D32D9">
                  <w:pPr>
                    <w:jc w:val="center"/>
                    <w:rPr>
                      <w:rFonts w:ascii="LindeDaxOffice_russian" w:hAnsi="LindeDaxOffice_russian"/>
                    </w:rPr>
                  </w:pPr>
                  <w:r>
                    <w:rPr>
                      <w:rFonts w:ascii="LindeDaxOffice_russian" w:hAnsi="LindeDaxOffice_russian"/>
                    </w:rPr>
                    <w:t>6</w:t>
                  </w:r>
                </w:p>
              </w:tc>
              <w:tc>
                <w:tcPr>
                  <w:tcW w:w="2831" w:type="dxa"/>
                </w:tcPr>
                <w:p w:rsidR="009D32D9" w:rsidRPr="00321305" w:rsidRDefault="009D32D9" w:rsidP="009D32D9">
                  <w:pPr>
                    <w:jc w:val="center"/>
                    <w:rPr>
                      <w:rFonts w:ascii="LindeDaxOffice_russian" w:hAnsi="LindeDaxOffice_russian"/>
                      <w:sz w:val="24"/>
                      <w:szCs w:val="24"/>
                    </w:rPr>
                  </w:pPr>
                  <w:r>
                    <w:rPr>
                      <w:rFonts w:ascii="LindeDaxOffice_russian" w:hAnsi="LindeDaxOffice_russian"/>
                      <w:sz w:val="24"/>
                      <w:szCs w:val="24"/>
                    </w:rPr>
                    <w:t>Борьба с недобросовестными поставщиками продукции и услуг</w:t>
                  </w:r>
                </w:p>
              </w:tc>
              <w:tc>
                <w:tcPr>
                  <w:tcW w:w="6167" w:type="dxa"/>
                </w:tcPr>
                <w:p w:rsidR="009D32D9" w:rsidRPr="00321305" w:rsidRDefault="009D32D9" w:rsidP="009D32D9">
                  <w:pPr>
                    <w:jc w:val="center"/>
                    <w:rPr>
                      <w:rFonts w:ascii="LindeDaxOffice_russian" w:hAnsi="LindeDaxOffice_russian"/>
                      <w:sz w:val="24"/>
                      <w:szCs w:val="24"/>
                    </w:rPr>
                  </w:pPr>
                  <w:r>
                    <w:rPr>
                      <w:rFonts w:ascii="LindeDaxOffice_russian" w:hAnsi="LindeDaxOffice_russian" w:cs="Arial"/>
                      <w:sz w:val="24"/>
                      <w:szCs w:val="24"/>
                    </w:rPr>
                    <w:t xml:space="preserve">Внедрение системы </w:t>
                  </w:r>
                  <w:proofErr w:type="gramStart"/>
                  <w:r>
                    <w:rPr>
                      <w:rFonts w:ascii="LindeDaxOffice_russian" w:hAnsi="LindeDaxOffice_russian" w:cs="Arial"/>
                      <w:sz w:val="24"/>
                      <w:szCs w:val="24"/>
                    </w:rPr>
                    <w:t>контроля за</w:t>
                  </w:r>
                  <w:proofErr w:type="gramEnd"/>
                  <w:r>
                    <w:rPr>
                      <w:rFonts w:ascii="LindeDaxOffice_russian" w:hAnsi="LindeDaxOffice_russian" w:cs="Arial"/>
                      <w:sz w:val="24"/>
                      <w:szCs w:val="24"/>
                    </w:rPr>
                    <w:t xml:space="preserve"> нелегальными производителями и компаниями, предоставляющими услуги ТО</w:t>
                  </w:r>
                </w:p>
              </w:tc>
            </w:tr>
          </w:tbl>
          <w:p w:rsidR="009D32D9" w:rsidRPr="00A80A24" w:rsidRDefault="009D32D9" w:rsidP="009D32D9">
            <w:pPr>
              <w:jc w:val="center"/>
              <w:rPr>
                <w:rFonts w:ascii="LindeDaxOffice_russian" w:hAnsi="LindeDaxOffice_russian"/>
              </w:rPr>
            </w:pPr>
          </w:p>
          <w:p w:rsidR="00436A0F" w:rsidRPr="00ED7D9E" w:rsidRDefault="00436A0F" w:rsidP="009D32D9">
            <w:pPr>
              <w:pStyle w:val="ConsPlusNonformat"/>
              <w:jc w:val="center"/>
              <w:rPr>
                <w:rFonts w:ascii="LindeDaxOffice_russian" w:hAnsi="LindeDaxOffice_russian"/>
                <w:color w:val="000000" w:themeColor="text1"/>
                <w:sz w:val="24"/>
                <w:szCs w:val="24"/>
              </w:rPr>
            </w:pPr>
          </w:p>
        </w:tc>
        <w:tc>
          <w:tcPr>
            <w:tcW w:w="5477" w:type="dxa"/>
          </w:tcPr>
          <w:p w:rsidR="000F41CF" w:rsidRPr="00941EFD" w:rsidRDefault="000F41CF" w:rsidP="00A15220">
            <w:pPr>
              <w:pStyle w:val="ConsPlusNonformat"/>
              <w:jc w:val="both"/>
              <w:rPr>
                <w:rFonts w:ascii="LindeDaxOffice_russian" w:hAnsi="LindeDaxOffice_russian"/>
                <w:sz w:val="24"/>
                <w:szCs w:val="24"/>
              </w:rPr>
            </w:pPr>
          </w:p>
        </w:tc>
      </w:tr>
    </w:tbl>
    <w:p w:rsidR="000959CC" w:rsidRPr="00941EFD" w:rsidRDefault="009B2267" w:rsidP="00941EFD">
      <w:pPr>
        <w:pStyle w:val="ConsPlusNonformat"/>
        <w:ind w:left="360"/>
        <w:jc w:val="right"/>
        <w:rPr>
          <w:rFonts w:ascii="LindeDaxOffice_russian" w:hAnsi="LindeDaxOffice_russian" w:cs="Times New Roman"/>
          <w:sz w:val="28"/>
          <w:szCs w:val="28"/>
        </w:rPr>
      </w:pPr>
      <w:r w:rsidRPr="009B2267">
        <w:rPr>
          <w:rFonts w:ascii="LindeDaxOffice_russian" w:hAnsi="LindeDaxOffice_russian" w:cs="Times New Roman"/>
          <w:noProof/>
          <w:sz w:val="28"/>
          <w:szCs w:val="28"/>
        </w:rPr>
        <w:drawing>
          <wp:inline distT="0" distB="0" distL="0" distR="0">
            <wp:extent cx="4057650" cy="1308919"/>
            <wp:effectExtent l="19050" t="0" r="0" b="0"/>
            <wp:docPr id="5" name="Рисунок 4" descr="Подпись_APIM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одпись_APIM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8114" cy="13090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959CC" w:rsidRPr="00941EFD" w:rsidSect="009D32D9">
      <w:pgSz w:w="11906" w:h="16838"/>
      <w:pgMar w:top="1134" w:right="851" w:bottom="90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ndeDaxOffice_russian">
    <w:altName w:val="Segoe UI"/>
    <w:charset w:val="CC"/>
    <w:family w:val="swiss"/>
    <w:pitch w:val="variable"/>
    <w:sig w:usb0="00000001" w:usb1="5000000A" w:usb2="00000000" w:usb3="00000000" w:csb0="00000197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BDAE5F3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58701A7"/>
    <w:multiLevelType w:val="multilevel"/>
    <w:tmpl w:val="56BE493E"/>
    <w:lvl w:ilvl="0">
      <w:start w:val="1"/>
      <w:numFmt w:val="decimal"/>
      <w:lvlText w:val="%1."/>
      <w:lvlJc w:val="left"/>
      <w:pPr>
        <w:ind w:left="360" w:hanging="360"/>
      </w:pPr>
      <w:rPr>
        <w:rFonts w:ascii="LindeDaxOffice_russian" w:hAnsi="LindeDaxOffice_russian" w:cs="Courier New" w:hint="default"/>
        <w:b w:val="0"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Courier New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Courier New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cs="Courier New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880" w:hanging="1440"/>
      </w:pPr>
      <w:rPr>
        <w:rFonts w:cs="Courier New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cs="Courier New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3960" w:hanging="1800"/>
      </w:pPr>
      <w:rPr>
        <w:rFonts w:cs="Courier New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cs="Courier New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  <w:rPr>
        <w:rFonts w:cs="Courier New" w:hint="default"/>
        <w:color w:val="auto"/>
      </w:rPr>
    </w:lvl>
  </w:abstractNum>
  <w:abstractNum w:abstractNumId="2">
    <w:nsid w:val="24883591"/>
    <w:multiLevelType w:val="multilevel"/>
    <w:tmpl w:val="7834F170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1065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9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2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46" w:hanging="1800"/>
      </w:pPr>
      <w:rPr>
        <w:rFonts w:hint="default"/>
      </w:rPr>
    </w:lvl>
  </w:abstractNum>
  <w:abstractNum w:abstractNumId="3">
    <w:nsid w:val="2A3E4EBE"/>
    <w:multiLevelType w:val="hybridMultilevel"/>
    <w:tmpl w:val="4798FE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2B4526"/>
    <w:multiLevelType w:val="hybridMultilevel"/>
    <w:tmpl w:val="4380EE7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D7D1905"/>
    <w:multiLevelType w:val="multilevel"/>
    <w:tmpl w:val="56BE493E"/>
    <w:lvl w:ilvl="0">
      <w:start w:val="1"/>
      <w:numFmt w:val="decimal"/>
      <w:lvlText w:val="%1."/>
      <w:lvlJc w:val="left"/>
      <w:pPr>
        <w:ind w:left="360" w:hanging="360"/>
      </w:pPr>
      <w:rPr>
        <w:rFonts w:ascii="LindeDaxOffice_russian" w:hAnsi="LindeDaxOffice_russian" w:cs="Courier New" w:hint="default"/>
        <w:b w:val="0"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Courier New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Courier New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cs="Courier New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880" w:hanging="1440"/>
      </w:pPr>
      <w:rPr>
        <w:rFonts w:cs="Courier New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cs="Courier New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3960" w:hanging="1800"/>
      </w:pPr>
      <w:rPr>
        <w:rFonts w:cs="Courier New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cs="Courier New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  <w:rPr>
        <w:rFonts w:cs="Courier New" w:hint="default"/>
        <w:color w:val="auto"/>
      </w:rPr>
    </w:lvl>
  </w:abstractNum>
  <w:abstractNum w:abstractNumId="6">
    <w:nsid w:val="58A87131"/>
    <w:multiLevelType w:val="multilevel"/>
    <w:tmpl w:val="15EEA38A"/>
    <w:lvl w:ilvl="0">
      <w:start w:val="1"/>
      <w:numFmt w:val="decimal"/>
      <w:lvlText w:val="%1."/>
      <w:lvlJc w:val="left"/>
      <w:pPr>
        <w:ind w:left="3337" w:hanging="360"/>
      </w:pPr>
      <w:rPr>
        <w:rFonts w:ascii="LindeDaxOffice_russian" w:hAnsi="LindeDaxOffice_russian" w:cs="Courier New" w:hint="default"/>
        <w:b w:val="0"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Courier New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Courier New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cs="Courier New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880" w:hanging="1440"/>
      </w:pPr>
      <w:rPr>
        <w:rFonts w:cs="Courier New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cs="Courier New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3960" w:hanging="1800"/>
      </w:pPr>
      <w:rPr>
        <w:rFonts w:cs="Courier New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cs="Courier New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  <w:rPr>
        <w:rFonts w:cs="Courier New" w:hint="default"/>
        <w:color w:val="auto"/>
      </w:rPr>
    </w:lvl>
  </w:abstractNum>
  <w:abstractNum w:abstractNumId="7">
    <w:nsid w:val="66005BDF"/>
    <w:multiLevelType w:val="hybridMultilevel"/>
    <w:tmpl w:val="330E15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7E6B8E"/>
    <w:multiLevelType w:val="hybridMultilevel"/>
    <w:tmpl w:val="73064BDA"/>
    <w:lvl w:ilvl="0" w:tplc="12CA2C64">
      <w:start w:val="4"/>
      <w:numFmt w:val="decimal"/>
      <w:lvlText w:val="%1."/>
      <w:lvlJc w:val="left"/>
      <w:pPr>
        <w:ind w:left="720" w:hanging="360"/>
      </w:pPr>
      <w:rPr>
        <w:rFonts w:cs="Arial" w:hint="default"/>
        <w:color w:val="2222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AE2AD5"/>
    <w:multiLevelType w:val="hybridMultilevel"/>
    <w:tmpl w:val="F1BC8142"/>
    <w:lvl w:ilvl="0" w:tplc="7E68B7E0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0B0F82"/>
    <w:multiLevelType w:val="hybridMultilevel"/>
    <w:tmpl w:val="4F98F5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0D2B7D"/>
    <w:multiLevelType w:val="hybridMultilevel"/>
    <w:tmpl w:val="F1B2C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5"/>
  </w:num>
  <w:num w:numId="4">
    <w:abstractNumId w:val="2"/>
  </w:num>
  <w:num w:numId="5">
    <w:abstractNumId w:val="6"/>
  </w:num>
  <w:num w:numId="6">
    <w:abstractNumId w:val="8"/>
  </w:num>
  <w:num w:numId="7">
    <w:abstractNumId w:val="1"/>
  </w:num>
  <w:num w:numId="8">
    <w:abstractNumId w:val="0"/>
  </w:num>
  <w:num w:numId="9">
    <w:abstractNumId w:val="4"/>
  </w:num>
  <w:num w:numId="10">
    <w:abstractNumId w:val="10"/>
  </w:num>
  <w:num w:numId="11">
    <w:abstractNumId w:val="3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1D4F"/>
    <w:rsid w:val="00001629"/>
    <w:rsid w:val="00027C31"/>
    <w:rsid w:val="0003488D"/>
    <w:rsid w:val="0004461B"/>
    <w:rsid w:val="000653A7"/>
    <w:rsid w:val="00065580"/>
    <w:rsid w:val="00087703"/>
    <w:rsid w:val="00087F7F"/>
    <w:rsid w:val="000959CC"/>
    <w:rsid w:val="000A27A3"/>
    <w:rsid w:val="000A290E"/>
    <w:rsid w:val="000B3B84"/>
    <w:rsid w:val="000C5022"/>
    <w:rsid w:val="000D149E"/>
    <w:rsid w:val="000D704F"/>
    <w:rsid w:val="000E295E"/>
    <w:rsid w:val="000E4F4C"/>
    <w:rsid w:val="000F0F2B"/>
    <w:rsid w:val="000F41CF"/>
    <w:rsid w:val="00135349"/>
    <w:rsid w:val="001449EB"/>
    <w:rsid w:val="00155617"/>
    <w:rsid w:val="00166C0D"/>
    <w:rsid w:val="00170F13"/>
    <w:rsid w:val="00173BE6"/>
    <w:rsid w:val="00185A7C"/>
    <w:rsid w:val="00193969"/>
    <w:rsid w:val="001A4560"/>
    <w:rsid w:val="001B5477"/>
    <w:rsid w:val="001C029A"/>
    <w:rsid w:val="001C5A28"/>
    <w:rsid w:val="001D3FC4"/>
    <w:rsid w:val="001E2DAE"/>
    <w:rsid w:val="00222A30"/>
    <w:rsid w:val="00227991"/>
    <w:rsid w:val="00241B66"/>
    <w:rsid w:val="00266C2A"/>
    <w:rsid w:val="00287E95"/>
    <w:rsid w:val="00294AEB"/>
    <w:rsid w:val="002A4F59"/>
    <w:rsid w:val="002B0DBE"/>
    <w:rsid w:val="002D11EB"/>
    <w:rsid w:val="002D5D53"/>
    <w:rsid w:val="002E021C"/>
    <w:rsid w:val="002F6AE5"/>
    <w:rsid w:val="00320521"/>
    <w:rsid w:val="00326FF3"/>
    <w:rsid w:val="00327C8F"/>
    <w:rsid w:val="003A6B4B"/>
    <w:rsid w:val="003B30D1"/>
    <w:rsid w:val="003E0997"/>
    <w:rsid w:val="003E7F25"/>
    <w:rsid w:val="003F0828"/>
    <w:rsid w:val="003F455D"/>
    <w:rsid w:val="0041375B"/>
    <w:rsid w:val="0041500C"/>
    <w:rsid w:val="004317F6"/>
    <w:rsid w:val="00436A0F"/>
    <w:rsid w:val="004555A6"/>
    <w:rsid w:val="004603F9"/>
    <w:rsid w:val="00460C42"/>
    <w:rsid w:val="004611D6"/>
    <w:rsid w:val="00471A0D"/>
    <w:rsid w:val="00475447"/>
    <w:rsid w:val="00480B3F"/>
    <w:rsid w:val="004845B2"/>
    <w:rsid w:val="00496CE4"/>
    <w:rsid w:val="004A5FFC"/>
    <w:rsid w:val="004A6A0D"/>
    <w:rsid w:val="004F01BB"/>
    <w:rsid w:val="00510312"/>
    <w:rsid w:val="00512CB7"/>
    <w:rsid w:val="00536C0A"/>
    <w:rsid w:val="0055777F"/>
    <w:rsid w:val="005606D9"/>
    <w:rsid w:val="00575138"/>
    <w:rsid w:val="00582FBB"/>
    <w:rsid w:val="005B433C"/>
    <w:rsid w:val="005B45C5"/>
    <w:rsid w:val="005C4D1B"/>
    <w:rsid w:val="005D4FB7"/>
    <w:rsid w:val="005E6C82"/>
    <w:rsid w:val="005F7D00"/>
    <w:rsid w:val="00632D29"/>
    <w:rsid w:val="006367FD"/>
    <w:rsid w:val="00647C2C"/>
    <w:rsid w:val="00661D2A"/>
    <w:rsid w:val="00680F13"/>
    <w:rsid w:val="00680FE3"/>
    <w:rsid w:val="0069458F"/>
    <w:rsid w:val="00695489"/>
    <w:rsid w:val="006C6F95"/>
    <w:rsid w:val="006D1EFC"/>
    <w:rsid w:val="006E37B5"/>
    <w:rsid w:val="006F3555"/>
    <w:rsid w:val="006F5BF0"/>
    <w:rsid w:val="0070756A"/>
    <w:rsid w:val="00712184"/>
    <w:rsid w:val="00720683"/>
    <w:rsid w:val="00725406"/>
    <w:rsid w:val="007347CB"/>
    <w:rsid w:val="007418D1"/>
    <w:rsid w:val="007467EC"/>
    <w:rsid w:val="00757BE0"/>
    <w:rsid w:val="007C798E"/>
    <w:rsid w:val="007F2DA8"/>
    <w:rsid w:val="00803A20"/>
    <w:rsid w:val="00806F45"/>
    <w:rsid w:val="00822766"/>
    <w:rsid w:val="008246DA"/>
    <w:rsid w:val="00830480"/>
    <w:rsid w:val="00830532"/>
    <w:rsid w:val="00847822"/>
    <w:rsid w:val="00851270"/>
    <w:rsid w:val="00852CEC"/>
    <w:rsid w:val="008558A6"/>
    <w:rsid w:val="0087437B"/>
    <w:rsid w:val="008F2621"/>
    <w:rsid w:val="0090046C"/>
    <w:rsid w:val="00907491"/>
    <w:rsid w:val="0091094A"/>
    <w:rsid w:val="009400BA"/>
    <w:rsid w:val="00941EFD"/>
    <w:rsid w:val="009537BF"/>
    <w:rsid w:val="00962AAC"/>
    <w:rsid w:val="00967F82"/>
    <w:rsid w:val="00974B91"/>
    <w:rsid w:val="00974DE6"/>
    <w:rsid w:val="00981D4F"/>
    <w:rsid w:val="00991CD9"/>
    <w:rsid w:val="00996E4B"/>
    <w:rsid w:val="009A4F9D"/>
    <w:rsid w:val="009A7CD2"/>
    <w:rsid w:val="009B2267"/>
    <w:rsid w:val="009B712A"/>
    <w:rsid w:val="009B73D7"/>
    <w:rsid w:val="009C6C44"/>
    <w:rsid w:val="009D32D9"/>
    <w:rsid w:val="009D3B1F"/>
    <w:rsid w:val="009E4BE1"/>
    <w:rsid w:val="009F2A97"/>
    <w:rsid w:val="009F7B9A"/>
    <w:rsid w:val="00A15220"/>
    <w:rsid w:val="00A20FBE"/>
    <w:rsid w:val="00A3446F"/>
    <w:rsid w:val="00A40559"/>
    <w:rsid w:val="00A46BA4"/>
    <w:rsid w:val="00A84724"/>
    <w:rsid w:val="00A865F4"/>
    <w:rsid w:val="00A96804"/>
    <w:rsid w:val="00A9792E"/>
    <w:rsid w:val="00AA1E9E"/>
    <w:rsid w:val="00AA5A16"/>
    <w:rsid w:val="00AD46CF"/>
    <w:rsid w:val="00AD6EEF"/>
    <w:rsid w:val="00AF2811"/>
    <w:rsid w:val="00AF3B4E"/>
    <w:rsid w:val="00B004CF"/>
    <w:rsid w:val="00B118C9"/>
    <w:rsid w:val="00B17F45"/>
    <w:rsid w:val="00B53374"/>
    <w:rsid w:val="00B61A09"/>
    <w:rsid w:val="00B679E9"/>
    <w:rsid w:val="00B7072B"/>
    <w:rsid w:val="00BC1865"/>
    <w:rsid w:val="00BD124B"/>
    <w:rsid w:val="00BD6CD7"/>
    <w:rsid w:val="00BF2DF1"/>
    <w:rsid w:val="00C20AC8"/>
    <w:rsid w:val="00C31864"/>
    <w:rsid w:val="00C33C35"/>
    <w:rsid w:val="00C45708"/>
    <w:rsid w:val="00C4700D"/>
    <w:rsid w:val="00C96F21"/>
    <w:rsid w:val="00CB0F7E"/>
    <w:rsid w:val="00CB4C87"/>
    <w:rsid w:val="00CB66B4"/>
    <w:rsid w:val="00CE0545"/>
    <w:rsid w:val="00CF385F"/>
    <w:rsid w:val="00D01C0E"/>
    <w:rsid w:val="00D05202"/>
    <w:rsid w:val="00D05B4A"/>
    <w:rsid w:val="00D1544C"/>
    <w:rsid w:val="00D24640"/>
    <w:rsid w:val="00D2569C"/>
    <w:rsid w:val="00D35071"/>
    <w:rsid w:val="00D36CBD"/>
    <w:rsid w:val="00D507AE"/>
    <w:rsid w:val="00DB2E50"/>
    <w:rsid w:val="00DC0CC1"/>
    <w:rsid w:val="00DD0679"/>
    <w:rsid w:val="00DD5113"/>
    <w:rsid w:val="00E02DCF"/>
    <w:rsid w:val="00E04F23"/>
    <w:rsid w:val="00E35532"/>
    <w:rsid w:val="00E35D0C"/>
    <w:rsid w:val="00E556DE"/>
    <w:rsid w:val="00E93C8B"/>
    <w:rsid w:val="00EC2AE6"/>
    <w:rsid w:val="00EC3441"/>
    <w:rsid w:val="00ED7D9E"/>
    <w:rsid w:val="00EE2665"/>
    <w:rsid w:val="00EE4919"/>
    <w:rsid w:val="00EF0E93"/>
    <w:rsid w:val="00F05945"/>
    <w:rsid w:val="00F13D8A"/>
    <w:rsid w:val="00F147CD"/>
    <w:rsid w:val="00F1598C"/>
    <w:rsid w:val="00F420A1"/>
    <w:rsid w:val="00F63E0D"/>
    <w:rsid w:val="00F642A1"/>
    <w:rsid w:val="00F65051"/>
    <w:rsid w:val="00FA7F50"/>
    <w:rsid w:val="00FB7ED7"/>
    <w:rsid w:val="00FF14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D3FC4"/>
    <w:rPr>
      <w:rFonts w:eastAsiaTheme="minorEastAsia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D3F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List Paragraph"/>
    <w:basedOn w:val="a0"/>
    <w:uiPriority w:val="34"/>
    <w:qFormat/>
    <w:rsid w:val="00326FF3"/>
    <w:pPr>
      <w:ind w:left="720"/>
      <w:contextualSpacing/>
    </w:pPr>
  </w:style>
  <w:style w:type="character" w:customStyle="1" w:styleId="hps">
    <w:name w:val="hps"/>
    <w:basedOn w:val="a1"/>
    <w:rsid w:val="005B45C5"/>
  </w:style>
  <w:style w:type="table" w:styleId="a5">
    <w:name w:val="Table Grid"/>
    <w:basedOn w:val="a2"/>
    <w:uiPriority w:val="59"/>
    <w:rsid w:val="000959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semiHidden/>
    <w:unhideWhenUsed/>
    <w:rsid w:val="00001629"/>
    <w:rPr>
      <w:color w:val="0000FF"/>
      <w:u w:val="single"/>
    </w:rPr>
  </w:style>
  <w:style w:type="paragraph" w:styleId="a">
    <w:name w:val="List Bullet"/>
    <w:basedOn w:val="a0"/>
    <w:uiPriority w:val="99"/>
    <w:unhideWhenUsed/>
    <w:rsid w:val="00AA1E9E"/>
    <w:pPr>
      <w:numPr>
        <w:numId w:val="8"/>
      </w:numPr>
      <w:contextualSpacing/>
    </w:pPr>
  </w:style>
  <w:style w:type="character" w:customStyle="1" w:styleId="shorttext">
    <w:name w:val="short_text"/>
    <w:basedOn w:val="a1"/>
    <w:rsid w:val="000F41CF"/>
  </w:style>
  <w:style w:type="paragraph" w:styleId="a7">
    <w:name w:val="Balloon Text"/>
    <w:basedOn w:val="a0"/>
    <w:link w:val="a8"/>
    <w:uiPriority w:val="99"/>
    <w:semiHidden/>
    <w:unhideWhenUsed/>
    <w:rsid w:val="009B22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9B2267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FC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D3F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26FF3"/>
    <w:pPr>
      <w:ind w:left="720"/>
      <w:contextualSpacing/>
    </w:pPr>
  </w:style>
  <w:style w:type="character" w:customStyle="1" w:styleId="hps">
    <w:name w:val="hps"/>
    <w:basedOn w:val="a0"/>
    <w:rsid w:val="005B45C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Linde Group</Company>
  <LinksUpToDate>false</LinksUpToDate>
  <CharactersWithSpaces>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ru0091</dc:creator>
  <cp:lastModifiedBy>semen.barkov</cp:lastModifiedBy>
  <cp:revision>2</cp:revision>
  <cp:lastPrinted>2016-09-09T10:41:00Z</cp:lastPrinted>
  <dcterms:created xsi:type="dcterms:W3CDTF">2016-10-11T09:34:00Z</dcterms:created>
  <dcterms:modified xsi:type="dcterms:W3CDTF">2016-10-11T09:34:00Z</dcterms:modified>
</cp:coreProperties>
</file>