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7FC" w:rsidRDefault="00D507FC" w:rsidP="007F64F9">
      <w:pPr>
        <w:spacing w:after="0" w:line="240" w:lineRule="auto"/>
        <w:jc w:val="right"/>
        <w:rPr>
          <w:rFonts w:ascii="Times New Roman" w:eastAsia="Times New Roman" w:hAnsi="Times New Roman" w:cs="Times New Roman"/>
          <w:color w:val="000000"/>
          <w:sz w:val="28"/>
          <w:szCs w:val="28"/>
          <w:lang w:val="ru-RU"/>
        </w:rPr>
      </w:pPr>
      <w:r w:rsidRPr="00D507FC">
        <w:rPr>
          <w:rFonts w:ascii="Times New Roman" w:eastAsia="Times New Roman" w:hAnsi="Times New Roman" w:cs="Times New Roman"/>
          <w:noProof/>
          <w:color w:val="000000"/>
          <w:sz w:val="28"/>
          <w:szCs w:val="28"/>
          <w:lang w:val="ru-RU" w:eastAsia="ru-RU"/>
        </w:rPr>
        <w:drawing>
          <wp:inline distT="0" distB="0" distL="0" distR="0">
            <wp:extent cx="6400800" cy="1185489"/>
            <wp:effectExtent l="19050" t="0" r="0" b="0"/>
            <wp:docPr id="4" name="Рисунок 1" descr="Letter head_AP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 head_APIMG"/>
                    <pic:cNvPicPr>
                      <a:picLocks noChangeAspect="1" noChangeArrowheads="1"/>
                    </pic:cNvPicPr>
                  </pic:nvPicPr>
                  <pic:blipFill>
                    <a:blip r:embed="rId5" cstate="print"/>
                    <a:srcRect/>
                    <a:stretch>
                      <a:fillRect/>
                    </a:stretch>
                  </pic:blipFill>
                  <pic:spPr bwMode="auto">
                    <a:xfrm>
                      <a:off x="0" y="0"/>
                      <a:ext cx="6400800" cy="1185489"/>
                    </a:xfrm>
                    <a:prstGeom prst="rect">
                      <a:avLst/>
                    </a:prstGeom>
                    <a:noFill/>
                    <a:ln w="9525">
                      <a:noFill/>
                      <a:miter lim="800000"/>
                      <a:headEnd/>
                      <a:tailEnd/>
                    </a:ln>
                  </pic:spPr>
                </pic:pic>
              </a:graphicData>
            </a:graphic>
          </wp:inline>
        </w:drawing>
      </w:r>
    </w:p>
    <w:p w:rsidR="00556821"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 xml:space="preserve">WORKING PROGRAM </w:t>
      </w:r>
    </w:p>
    <w:p w:rsidR="008367DA" w:rsidRDefault="008367DA" w:rsidP="00556821">
      <w:pPr>
        <w:spacing w:after="0" w:line="240" w:lineRule="auto"/>
        <w:jc w:val="center"/>
        <w:rPr>
          <w:rFonts w:ascii="LindeDaxOffice_russian" w:hAnsi="LindeDaxOffice_russian" w:cs="Times New Roman"/>
          <w:b/>
          <w:sz w:val="24"/>
          <w:szCs w:val="24"/>
        </w:rPr>
      </w:pPr>
    </w:p>
    <w:p w:rsidR="00556821" w:rsidRPr="00891ED2"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 xml:space="preserve">OF SPECIALITY GASES WORKING GROUP </w:t>
      </w:r>
    </w:p>
    <w:p w:rsidR="00A23EB1" w:rsidRDefault="00556821" w:rsidP="00556821">
      <w:pPr>
        <w:spacing w:after="0" w:line="240" w:lineRule="auto"/>
        <w:jc w:val="center"/>
        <w:rPr>
          <w:rFonts w:ascii="LindeDaxOffice_russian" w:hAnsi="LindeDaxOffice_russian" w:cs="Times New Roman"/>
          <w:b/>
          <w:sz w:val="24"/>
          <w:szCs w:val="24"/>
        </w:rPr>
      </w:pPr>
      <w:r w:rsidRPr="00891ED2">
        <w:rPr>
          <w:rFonts w:ascii="LindeDaxOffice_russian" w:hAnsi="LindeDaxOffice_russian" w:cs="Times New Roman"/>
          <w:b/>
          <w:sz w:val="24"/>
          <w:szCs w:val="24"/>
        </w:rPr>
        <w:t>OF ASSOCIATION OF INDUSTRIAL AND MEDICAL GASES PRODUCERS ON 2016</w:t>
      </w:r>
    </w:p>
    <w:p w:rsidR="008367DA" w:rsidRPr="00891ED2" w:rsidRDefault="008367DA" w:rsidP="00556821">
      <w:pPr>
        <w:spacing w:after="0" w:line="240" w:lineRule="auto"/>
        <w:jc w:val="center"/>
        <w:rPr>
          <w:rFonts w:ascii="LindeDaxOffice_russian" w:hAnsi="LindeDaxOffice_russian" w:cs="Times New Roman"/>
          <w:b/>
          <w:sz w:val="24"/>
          <w:szCs w:val="24"/>
        </w:rPr>
      </w:pPr>
    </w:p>
    <w:tbl>
      <w:tblPr>
        <w:tblW w:w="10745" w:type="dxa"/>
        <w:tblInd w:w="108" w:type="dxa"/>
        <w:tblLook w:val="00A0"/>
      </w:tblPr>
      <w:tblGrid>
        <w:gridCol w:w="5242"/>
        <w:gridCol w:w="5503"/>
      </w:tblGrid>
      <w:tr w:rsidR="00461E23" w:rsidRPr="00D04358" w:rsidTr="00556821">
        <w:trPr>
          <w:trHeight w:val="2117"/>
        </w:trPr>
        <w:tc>
          <w:tcPr>
            <w:tcW w:w="5242" w:type="dxa"/>
          </w:tcPr>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lastRenderedPageBreak/>
              <w:t xml:space="preserve">Изучение </w:t>
            </w:r>
            <w:r w:rsidR="00730A80">
              <w:rPr>
                <w:rFonts w:ascii="LindeDaxOffice_russian" w:hAnsi="LindeDaxOffice_russian" w:cs="Times New Roman"/>
                <w:b w:val="0"/>
                <w:bCs w:val="0"/>
                <w:i w:val="0"/>
                <w:iCs w:val="0"/>
                <w:sz w:val="24"/>
                <w:lang w:val="ru-RU"/>
              </w:rPr>
              <w:t>отличий Российских и Европейски</w:t>
            </w:r>
            <w:r w:rsidR="00730A80" w:rsidRPr="00730A80">
              <w:rPr>
                <w:rFonts w:ascii="LindeDaxOffice_russian" w:hAnsi="LindeDaxOffice_russian" w:cs="Times New Roman"/>
                <w:b w:val="0"/>
                <w:bCs w:val="0"/>
                <w:i w:val="0"/>
                <w:iCs w:val="0"/>
                <w:sz w:val="24"/>
                <w:lang w:val="ru-RU"/>
              </w:rPr>
              <w:t>х</w:t>
            </w:r>
            <w:r w:rsidRPr="00D04358">
              <w:rPr>
                <w:rFonts w:ascii="LindeDaxOffice_russian" w:hAnsi="LindeDaxOffice_russian" w:cs="Times New Roman"/>
                <w:b w:val="0"/>
                <w:bCs w:val="0"/>
                <w:i w:val="0"/>
                <w:iCs w:val="0"/>
                <w:sz w:val="24"/>
                <w:lang w:val="ru-RU"/>
              </w:rPr>
              <w:t xml:space="preserve"> стандартов в области контроля качества производства Специальных газов и смесей (для Государственных стандартных образцов ГСО – </w:t>
            </w:r>
            <w:r w:rsidRPr="00D04358">
              <w:rPr>
                <w:rFonts w:ascii="LindeDaxOffice_russian" w:hAnsi="LindeDaxOffice_russian" w:cs="Times New Roman"/>
                <w:b w:val="0"/>
                <w:bCs w:val="0"/>
                <w:i w:val="0"/>
                <w:iCs w:val="0"/>
                <w:sz w:val="24"/>
              </w:rPr>
              <w:t>ISO</w:t>
            </w:r>
            <w:r w:rsidRPr="00D04358">
              <w:rPr>
                <w:rFonts w:ascii="LindeDaxOffice_russian" w:hAnsi="LindeDaxOffice_russian" w:cs="Times New Roman"/>
                <w:b w:val="0"/>
                <w:bCs w:val="0"/>
                <w:i w:val="0"/>
                <w:iCs w:val="0"/>
                <w:sz w:val="24"/>
                <w:lang w:val="ru-RU"/>
              </w:rPr>
              <w:t xml:space="preserve"> 34, для аккредитации лабораторий - ISO 17025). </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 xml:space="preserve">Изучение отличий методик расчета и обоснования класса опасности газовых смесей по ГОСТ и </w:t>
            </w:r>
            <w:r w:rsidRPr="00D04358">
              <w:rPr>
                <w:rFonts w:ascii="LindeDaxOffice_russian" w:hAnsi="LindeDaxOffice_russian" w:cs="Times New Roman"/>
                <w:b w:val="0"/>
                <w:bCs w:val="0"/>
                <w:i w:val="0"/>
                <w:iCs w:val="0"/>
                <w:sz w:val="24"/>
              </w:rPr>
              <w:t>EIGA</w:t>
            </w:r>
            <w:r w:rsidRPr="00D04358">
              <w:rPr>
                <w:rFonts w:ascii="LindeDaxOffice_russian" w:hAnsi="LindeDaxOffice_russian" w:cs="Times New Roman"/>
                <w:b w:val="0"/>
                <w:bCs w:val="0"/>
                <w:i w:val="0"/>
                <w:iCs w:val="0"/>
                <w:sz w:val="24"/>
                <w:lang w:val="ru-RU"/>
              </w:rPr>
              <w:t>. Определение целесообразности и возможных путей адаптации этих методик (задача по возможности избегать необходимость тестовых испытаний каждого типа смеси, а безопасность присваивать расчетными методами).</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 xml:space="preserve">Изучение возможности адаптации маркировки Специальных газов в России к Европейским стандартам </w:t>
            </w:r>
            <w:r w:rsidRPr="00D04358">
              <w:rPr>
                <w:rFonts w:ascii="LindeDaxOffice_russian" w:hAnsi="LindeDaxOffice_russian" w:cs="Times New Roman"/>
                <w:b w:val="0"/>
                <w:bCs w:val="0"/>
                <w:i w:val="0"/>
                <w:iCs w:val="0"/>
                <w:sz w:val="24"/>
              </w:rPr>
              <w:t>EIGA</w:t>
            </w:r>
            <w:r w:rsidRPr="00D04358">
              <w:rPr>
                <w:rFonts w:ascii="LindeDaxOffice_russian" w:hAnsi="LindeDaxOffice_russian" w:cs="Times New Roman"/>
                <w:b w:val="0"/>
                <w:bCs w:val="0"/>
                <w:i w:val="0"/>
                <w:iCs w:val="0"/>
                <w:sz w:val="24"/>
                <w:lang w:val="ru-RU"/>
              </w:rPr>
              <w:t xml:space="preserve">. </w:t>
            </w:r>
          </w:p>
          <w:p w:rsidR="00461E23" w:rsidRPr="00D04358" w:rsidRDefault="00461E23" w:rsidP="00A22AB9">
            <w:pPr>
              <w:pStyle w:val="2"/>
              <w:numPr>
                <w:ilvl w:val="0"/>
                <w:numId w:val="3"/>
              </w:numPr>
              <w:spacing w:before="120"/>
              <w:ind w:left="34" w:firstLine="425"/>
              <w:jc w:val="both"/>
              <w:rPr>
                <w:rFonts w:ascii="LindeDaxOffice_russian" w:hAnsi="LindeDaxOffice_russian" w:cs="Times New Roman"/>
                <w:b w:val="0"/>
                <w:bCs w:val="0"/>
                <w:i w:val="0"/>
                <w:iCs w:val="0"/>
                <w:sz w:val="24"/>
                <w:lang w:val="ru-RU"/>
              </w:rPr>
            </w:pPr>
            <w:r w:rsidRPr="00D04358">
              <w:rPr>
                <w:rFonts w:ascii="LindeDaxOffice_russian" w:hAnsi="LindeDaxOffice_russian" w:cs="Times New Roman"/>
                <w:b w:val="0"/>
                <w:bCs w:val="0"/>
                <w:i w:val="0"/>
                <w:iCs w:val="0"/>
                <w:sz w:val="24"/>
                <w:lang w:val="ru-RU"/>
              </w:rPr>
              <w:t>Изучить проект технического регламента Таможенного союза "О безопасности химической продукции" и оценить его влияние на производство и поставку Специальных газов.</w:t>
            </w:r>
          </w:p>
          <w:p w:rsidR="00461E23" w:rsidRPr="00D04358" w:rsidRDefault="00461E23" w:rsidP="00F90E75">
            <w:pPr>
              <w:pStyle w:val="2"/>
              <w:jc w:val="both"/>
              <w:rPr>
                <w:rFonts w:ascii="LindeDaxOffice_russian" w:hAnsi="LindeDaxOffice_russian" w:cs="Times New Roman"/>
                <w:b w:val="0"/>
                <w:bCs w:val="0"/>
                <w:i w:val="0"/>
                <w:iCs w:val="0"/>
                <w:sz w:val="24"/>
                <w:lang w:val="ru-RU"/>
              </w:rPr>
            </w:pPr>
          </w:p>
          <w:p w:rsidR="00461E23" w:rsidRPr="005F0ACD" w:rsidRDefault="005F0ACD" w:rsidP="00C36525">
            <w:pPr>
              <w:pStyle w:val="2"/>
              <w:jc w:val="both"/>
              <w:rPr>
                <w:rFonts w:ascii="LindeDaxOffice_russian" w:hAnsi="LindeDaxOffice_russian"/>
                <w:szCs w:val="22"/>
                <w:lang w:val="ru-RU"/>
              </w:rPr>
            </w:pPr>
            <w:r w:rsidRPr="005F0ACD">
              <w:rPr>
                <w:rFonts w:ascii="LindeDaxOffice_russian" w:hAnsi="LindeDaxOffice_russian"/>
                <w:szCs w:val="22"/>
                <w:lang w:val="ru-RU"/>
              </w:rPr>
              <w:t>Подпись:</w:t>
            </w:r>
          </w:p>
          <w:p w:rsidR="005F0ACD" w:rsidRDefault="005F0ACD" w:rsidP="00C36525">
            <w:pPr>
              <w:spacing w:after="0" w:line="240" w:lineRule="auto"/>
              <w:rPr>
                <w:rFonts w:ascii="LindeDaxOffice_russian" w:hAnsi="LindeDaxOffice_russian"/>
                <w:lang w:eastAsia="ru-RU"/>
              </w:rPr>
            </w:pPr>
            <w:r w:rsidRPr="005F0ACD">
              <w:rPr>
                <w:rFonts w:ascii="LindeDaxOffice_russian" w:hAnsi="LindeDaxOffice_russian"/>
                <w:lang w:val="ru-RU" w:eastAsia="ru-RU"/>
              </w:rPr>
              <w:t>Члены Рабочей группы</w:t>
            </w:r>
          </w:p>
          <w:p w:rsidR="008367DA" w:rsidRPr="008367DA" w:rsidRDefault="008367DA" w:rsidP="00C36525">
            <w:pPr>
              <w:spacing w:after="0" w:line="240" w:lineRule="auto"/>
              <w:rPr>
                <w:rFonts w:ascii="LindeDaxOffice_russian" w:hAnsi="LindeDaxOffice_russian"/>
                <w:lang w:eastAsia="ru-RU"/>
              </w:rPr>
            </w:pPr>
          </w:p>
          <w:p w:rsidR="005F0ACD" w:rsidRPr="00C36525" w:rsidRDefault="005F0ACD" w:rsidP="00C36525">
            <w:pPr>
              <w:spacing w:after="0" w:line="240" w:lineRule="auto"/>
              <w:rPr>
                <w:rFonts w:ascii="LindeDaxOffice_russian" w:hAnsi="LindeDaxOffice_russian"/>
                <w:b/>
                <w:lang w:val="ru-RU" w:eastAsia="ru-RU"/>
              </w:rPr>
            </w:pPr>
            <w:r w:rsidRPr="00C36525">
              <w:rPr>
                <w:rFonts w:ascii="LindeDaxOffice_russian" w:hAnsi="LindeDaxOffice_russian"/>
                <w:b/>
                <w:lang w:val="ru-RU" w:eastAsia="ru-RU"/>
              </w:rPr>
              <w:t>Дата:</w:t>
            </w:r>
          </w:p>
          <w:p w:rsidR="005F0ACD" w:rsidRPr="005F0ACD" w:rsidRDefault="005F0ACD" w:rsidP="00C36525">
            <w:pPr>
              <w:spacing w:after="0" w:line="240" w:lineRule="auto"/>
              <w:rPr>
                <w:lang w:val="ru-RU" w:eastAsia="ru-RU"/>
              </w:rPr>
            </w:pPr>
            <w:r w:rsidRPr="005F0ACD">
              <w:rPr>
                <w:rFonts w:ascii="LindeDaxOffice_russian" w:hAnsi="LindeDaxOffice_russian"/>
                <w:lang w:val="ru-RU" w:eastAsia="ru-RU"/>
              </w:rPr>
              <w:t>28 апреля 2016 г.</w:t>
            </w:r>
          </w:p>
        </w:tc>
        <w:tc>
          <w:tcPr>
            <w:tcW w:w="5503" w:type="dxa"/>
          </w:tcPr>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difference between Russian and European standards for SG production quality control (for the State certified reference standards GSO – ISO 34, for laboratories - ISO 17025). </w:t>
            </w:r>
          </w:p>
          <w:p w:rsidR="00461E23" w:rsidRPr="00D04358" w:rsidRDefault="00461E23" w:rsidP="00A22AB9">
            <w:pPr>
              <w:pStyle w:val="2"/>
              <w:ind w:left="37" w:firstLine="383"/>
              <w:jc w:val="both"/>
              <w:rPr>
                <w:rFonts w:ascii="LindeDaxOffice_russian" w:hAnsi="LindeDaxOffice_russian" w:cs="Times New Roman"/>
                <w:b w:val="0"/>
                <w:bCs w:val="0"/>
                <w:i w:val="0"/>
                <w:iCs w:val="0"/>
                <w:sz w:val="24"/>
              </w:rPr>
            </w:pPr>
          </w:p>
          <w:p w:rsidR="00461E23" w:rsidRPr="00D04358" w:rsidRDefault="00461E23" w:rsidP="00A22AB9">
            <w:pPr>
              <w:pStyle w:val="2"/>
              <w:ind w:left="37" w:firstLine="383"/>
              <w:jc w:val="both"/>
              <w:rPr>
                <w:rFonts w:ascii="LindeDaxOffice_russian" w:hAnsi="LindeDaxOffice_russian" w:cs="Times New Roman"/>
                <w:b w:val="0"/>
                <w:bCs w:val="0"/>
                <w:i w:val="0"/>
                <w:iCs w:val="0"/>
                <w:sz w:val="24"/>
              </w:rPr>
            </w:pPr>
          </w:p>
          <w:p w:rsidR="00461E23"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difference in methods of calculation and classification of hazardous gaseous mixtures by GOST and EIGA. Understanding the appropriateness and possibilities for these methods adaptation, (the main task is to avoid, if possible, the requirement of experimental safety proving for each type of mixture, but use calculation methods).  </w:t>
            </w:r>
          </w:p>
          <w:p w:rsidR="00A22AB9" w:rsidRPr="00A22AB9" w:rsidRDefault="00A22AB9" w:rsidP="00A22AB9">
            <w:pPr>
              <w:rPr>
                <w:lang w:eastAsia="ru-RU"/>
              </w:rPr>
            </w:pPr>
          </w:p>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 xml:space="preserve">Study the possibility of Russia SG </w:t>
            </w:r>
            <w:r w:rsidR="004E6E99" w:rsidRPr="00D04358">
              <w:rPr>
                <w:rFonts w:ascii="LindeDaxOffice_russian" w:hAnsi="LindeDaxOffice_russian" w:cs="Times New Roman"/>
                <w:b w:val="0"/>
                <w:bCs w:val="0"/>
                <w:i w:val="0"/>
                <w:iCs w:val="0"/>
                <w:sz w:val="24"/>
              </w:rPr>
              <w:t>labeling</w:t>
            </w:r>
            <w:r w:rsidRPr="00D04358">
              <w:rPr>
                <w:rFonts w:ascii="LindeDaxOffice_russian" w:hAnsi="LindeDaxOffice_russian" w:cs="Times New Roman"/>
                <w:b w:val="0"/>
                <w:bCs w:val="0"/>
                <w:i w:val="0"/>
                <w:iCs w:val="0"/>
                <w:sz w:val="24"/>
              </w:rPr>
              <w:t xml:space="preserve"> standards to European EIGA.</w:t>
            </w:r>
          </w:p>
          <w:p w:rsidR="00461E23" w:rsidRPr="00D04358" w:rsidRDefault="00461E23" w:rsidP="00A22AB9">
            <w:pPr>
              <w:spacing w:after="0" w:line="240" w:lineRule="auto"/>
              <w:ind w:left="37" w:firstLine="383"/>
              <w:rPr>
                <w:rFonts w:ascii="LindeDaxOffice_russian" w:hAnsi="LindeDaxOffice_russian"/>
                <w:lang w:eastAsia="ru-RU"/>
              </w:rPr>
            </w:pPr>
          </w:p>
          <w:p w:rsidR="00461E23" w:rsidRPr="00D04358" w:rsidRDefault="00461E23" w:rsidP="00A22AB9">
            <w:pPr>
              <w:pStyle w:val="2"/>
              <w:numPr>
                <w:ilvl w:val="0"/>
                <w:numId w:val="4"/>
              </w:numPr>
              <w:spacing w:before="120"/>
              <w:ind w:left="37" w:firstLine="383"/>
              <w:jc w:val="both"/>
              <w:rPr>
                <w:rFonts w:ascii="LindeDaxOffice_russian" w:hAnsi="LindeDaxOffice_russian" w:cs="Times New Roman"/>
                <w:b w:val="0"/>
                <w:bCs w:val="0"/>
                <w:i w:val="0"/>
                <w:iCs w:val="0"/>
                <w:sz w:val="24"/>
              </w:rPr>
            </w:pPr>
            <w:r w:rsidRPr="00D04358">
              <w:rPr>
                <w:rFonts w:ascii="LindeDaxOffice_russian" w:hAnsi="LindeDaxOffice_russian" w:cs="Times New Roman"/>
                <w:b w:val="0"/>
                <w:bCs w:val="0"/>
                <w:i w:val="0"/>
                <w:iCs w:val="0"/>
                <w:sz w:val="24"/>
              </w:rPr>
              <w:t>Study the project of Custom Union technical regulation “About safety of chemical products” and estimate its influence on SG production and distribution.</w:t>
            </w:r>
          </w:p>
          <w:p w:rsidR="00461E23" w:rsidRPr="00D04358" w:rsidRDefault="00461E23" w:rsidP="00A22AB9">
            <w:pPr>
              <w:tabs>
                <w:tab w:val="left" w:pos="142"/>
              </w:tabs>
              <w:spacing w:after="0" w:line="240" w:lineRule="auto"/>
              <w:ind w:left="37" w:firstLine="383"/>
              <w:jc w:val="both"/>
              <w:rPr>
                <w:rFonts w:ascii="LindeDaxOffice_russian" w:hAnsi="LindeDaxOffice_russian"/>
                <w:b/>
                <w:color w:val="000000"/>
                <w:sz w:val="24"/>
                <w:szCs w:val="24"/>
                <w:lang w:eastAsia="de-DE"/>
              </w:rPr>
            </w:pPr>
          </w:p>
          <w:p w:rsidR="002F7E9B" w:rsidRDefault="002F7E9B" w:rsidP="001221BC">
            <w:pPr>
              <w:pStyle w:val="2"/>
              <w:jc w:val="both"/>
              <w:rPr>
                <w:rFonts w:ascii="LindeDaxOffice_russian" w:hAnsi="LindeDaxOffice_russian"/>
                <w:color w:val="000000"/>
                <w:szCs w:val="22"/>
                <w:lang w:eastAsia="de-DE"/>
              </w:rPr>
            </w:pPr>
          </w:p>
          <w:p w:rsidR="00461E23" w:rsidRPr="00894EB3" w:rsidRDefault="002A3EB8" w:rsidP="001221BC">
            <w:pPr>
              <w:pStyle w:val="2"/>
              <w:jc w:val="both"/>
              <w:rPr>
                <w:rFonts w:ascii="LindeDaxOffice_russian" w:hAnsi="LindeDaxOffice_russian"/>
                <w:color w:val="000000"/>
                <w:szCs w:val="22"/>
                <w:lang w:eastAsia="de-DE"/>
              </w:rPr>
            </w:pPr>
            <w:r w:rsidRPr="00894EB3">
              <w:rPr>
                <w:rFonts w:ascii="LindeDaxOffice_russian" w:hAnsi="LindeDaxOffice_russian"/>
                <w:color w:val="000000"/>
                <w:szCs w:val="22"/>
                <w:lang w:eastAsia="de-DE"/>
              </w:rPr>
              <w:t>Signature:</w:t>
            </w:r>
          </w:p>
          <w:p w:rsidR="002A3EB8" w:rsidRDefault="002A3EB8" w:rsidP="001221BC">
            <w:pPr>
              <w:spacing w:after="0"/>
              <w:rPr>
                <w:rFonts w:ascii="LindeDaxOffice_russian" w:hAnsi="LindeDaxOffice_russian"/>
                <w:lang w:eastAsia="de-DE"/>
              </w:rPr>
            </w:pPr>
            <w:r w:rsidRPr="001221BC">
              <w:rPr>
                <w:rFonts w:ascii="LindeDaxOffice_russian" w:hAnsi="LindeDaxOffice_russian"/>
                <w:lang w:eastAsia="de-DE"/>
              </w:rPr>
              <w:t>Members of the Working group</w:t>
            </w:r>
          </w:p>
          <w:p w:rsidR="008367DA" w:rsidRPr="001221BC" w:rsidRDefault="008367DA" w:rsidP="001221BC">
            <w:pPr>
              <w:spacing w:after="0"/>
              <w:rPr>
                <w:rFonts w:ascii="LindeDaxOffice_russian" w:hAnsi="LindeDaxOffice_russian"/>
                <w:lang w:eastAsia="de-DE"/>
              </w:rPr>
            </w:pPr>
          </w:p>
          <w:p w:rsidR="002A3EB8" w:rsidRPr="00894EB3" w:rsidRDefault="002A3EB8" w:rsidP="001221BC">
            <w:pPr>
              <w:spacing w:after="0"/>
              <w:rPr>
                <w:rFonts w:ascii="LindeDaxOffice_russian" w:hAnsi="LindeDaxOffice_russian"/>
                <w:b/>
                <w:lang w:val="ru-RU" w:eastAsia="de-DE"/>
              </w:rPr>
            </w:pPr>
            <w:r w:rsidRPr="00894EB3">
              <w:rPr>
                <w:rFonts w:ascii="LindeDaxOffice_russian" w:hAnsi="LindeDaxOffice_russian"/>
                <w:b/>
                <w:lang w:eastAsia="de-DE"/>
              </w:rPr>
              <w:t>Date</w:t>
            </w:r>
            <w:r w:rsidRPr="00894EB3">
              <w:rPr>
                <w:rFonts w:ascii="LindeDaxOffice_russian" w:hAnsi="LindeDaxOffice_russian"/>
                <w:b/>
                <w:lang w:val="ru-RU" w:eastAsia="de-DE"/>
              </w:rPr>
              <w:t>:</w:t>
            </w:r>
          </w:p>
          <w:p w:rsidR="002A3EB8" w:rsidRPr="002A3EB8" w:rsidRDefault="002A3EB8" w:rsidP="001221BC">
            <w:pPr>
              <w:spacing w:after="0"/>
              <w:rPr>
                <w:lang w:eastAsia="de-DE"/>
              </w:rPr>
            </w:pPr>
            <w:r w:rsidRPr="00894EB3">
              <w:rPr>
                <w:rFonts w:ascii="LindeDaxOffice_russian" w:hAnsi="LindeDaxOffice_russian"/>
                <w:b/>
                <w:lang w:eastAsia="de-DE"/>
              </w:rPr>
              <w:t>April 28, 2016.</w:t>
            </w:r>
          </w:p>
        </w:tc>
      </w:tr>
    </w:tbl>
    <w:p w:rsidR="008076A9" w:rsidRDefault="00A23EB1" w:rsidP="008076A9">
      <w:pPr>
        <w:spacing w:after="0" w:line="240" w:lineRule="auto"/>
        <w:ind w:left="709"/>
        <w:jc w:val="both"/>
        <w:rPr>
          <w:rFonts w:ascii="Times New Roman" w:eastAsia="Times New Roman" w:hAnsi="Times New Roman" w:cs="Times New Roman"/>
          <w:color w:val="000000"/>
          <w:sz w:val="28"/>
          <w:szCs w:val="28"/>
          <w:lang w:val="ru-RU"/>
        </w:rPr>
      </w:pPr>
      <w:r w:rsidRPr="00A23EB1">
        <w:rPr>
          <w:rFonts w:ascii="Times New Roman" w:eastAsia="Times New Roman" w:hAnsi="Times New Roman" w:cs="Times New Roman"/>
          <w:noProof/>
          <w:color w:val="000000"/>
          <w:sz w:val="28"/>
          <w:szCs w:val="28"/>
          <w:lang w:val="ru-RU" w:eastAsia="ru-RU"/>
        </w:rPr>
        <w:drawing>
          <wp:inline distT="0" distB="0" distL="0" distR="0">
            <wp:extent cx="6120765" cy="1865103"/>
            <wp:effectExtent l="19050" t="0" r="0" b="0"/>
            <wp:docPr id="5" name="Рисунок 4" descr="Подпись_AP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дпись_APIMG"/>
                    <pic:cNvPicPr>
                      <a:picLocks noChangeAspect="1" noChangeArrowheads="1"/>
                    </pic:cNvPicPr>
                  </pic:nvPicPr>
                  <pic:blipFill>
                    <a:blip r:embed="rId6" cstate="print"/>
                    <a:srcRect/>
                    <a:stretch>
                      <a:fillRect/>
                    </a:stretch>
                  </pic:blipFill>
                  <pic:spPr bwMode="auto">
                    <a:xfrm>
                      <a:off x="0" y="0"/>
                      <a:ext cx="6120765" cy="1865103"/>
                    </a:xfrm>
                    <a:prstGeom prst="rect">
                      <a:avLst/>
                    </a:prstGeom>
                    <a:noFill/>
                    <a:ln w="9525">
                      <a:noFill/>
                      <a:miter lim="800000"/>
                      <a:headEnd/>
                      <a:tailEnd/>
                    </a:ln>
                  </pic:spPr>
                </pic:pic>
              </a:graphicData>
            </a:graphic>
          </wp:inline>
        </w:drawing>
      </w:r>
    </w:p>
    <w:sectPr w:rsidR="008076A9" w:rsidSect="008367DA">
      <w:pgSz w:w="12240" w:h="15840"/>
      <w:pgMar w:top="284" w:right="1077" w:bottom="284"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ndeDaxOffice_russian">
    <w:altName w:val="Segoe UI"/>
    <w:charset w:val="CC"/>
    <w:family w:val="swiss"/>
    <w:pitch w:val="variable"/>
    <w:sig w:usb0="00000001" w:usb1="5000000A" w:usb2="00000000" w:usb3="00000000" w:csb0="000001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379D8"/>
    <w:multiLevelType w:val="hybridMultilevel"/>
    <w:tmpl w:val="4AE24C68"/>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296A0987"/>
    <w:multiLevelType w:val="hybridMultilevel"/>
    <w:tmpl w:val="872C304A"/>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3FA55FFF"/>
    <w:multiLevelType w:val="hybridMultilevel"/>
    <w:tmpl w:val="E4425730"/>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63A610B6"/>
    <w:multiLevelType w:val="hybridMultilevel"/>
    <w:tmpl w:val="7590791C"/>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2141BF"/>
    <w:rsid w:val="001221BC"/>
    <w:rsid w:val="002141BF"/>
    <w:rsid w:val="002A344D"/>
    <w:rsid w:val="002A3EB8"/>
    <w:rsid w:val="002F7E9B"/>
    <w:rsid w:val="003205EA"/>
    <w:rsid w:val="00393F5E"/>
    <w:rsid w:val="00396E91"/>
    <w:rsid w:val="00461E23"/>
    <w:rsid w:val="004E6E99"/>
    <w:rsid w:val="00556821"/>
    <w:rsid w:val="00594843"/>
    <w:rsid w:val="005F0ACD"/>
    <w:rsid w:val="0063167E"/>
    <w:rsid w:val="006701F3"/>
    <w:rsid w:val="006D6E86"/>
    <w:rsid w:val="00730A80"/>
    <w:rsid w:val="007E5662"/>
    <w:rsid w:val="007F64F9"/>
    <w:rsid w:val="008076A9"/>
    <w:rsid w:val="00815FCD"/>
    <w:rsid w:val="008367DA"/>
    <w:rsid w:val="00891ED2"/>
    <w:rsid w:val="00894EB3"/>
    <w:rsid w:val="00984AAD"/>
    <w:rsid w:val="009A7F00"/>
    <w:rsid w:val="00A10DE8"/>
    <w:rsid w:val="00A22AB9"/>
    <w:rsid w:val="00A23EB1"/>
    <w:rsid w:val="00B7724C"/>
    <w:rsid w:val="00C36525"/>
    <w:rsid w:val="00C7373B"/>
    <w:rsid w:val="00CE1A94"/>
    <w:rsid w:val="00CE66DA"/>
    <w:rsid w:val="00D04358"/>
    <w:rsid w:val="00D14CD3"/>
    <w:rsid w:val="00D507FC"/>
    <w:rsid w:val="00E67DA7"/>
    <w:rsid w:val="00EF3FF4"/>
    <w:rsid w:val="00F00F7A"/>
    <w:rsid w:val="00F656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FF4"/>
  </w:style>
  <w:style w:type="paragraph" w:styleId="2">
    <w:name w:val="heading 2"/>
    <w:basedOn w:val="a"/>
    <w:next w:val="a"/>
    <w:link w:val="20"/>
    <w:qFormat/>
    <w:rsid w:val="00461E23"/>
    <w:pPr>
      <w:keepNext/>
      <w:spacing w:after="0" w:line="240" w:lineRule="auto"/>
      <w:outlineLvl w:val="1"/>
    </w:pPr>
    <w:rPr>
      <w:rFonts w:ascii="Arial" w:eastAsia="Times New Roman" w:hAnsi="Arial" w:cs="Arial"/>
      <w:b/>
      <w:bCs/>
      <w:i/>
      <w:i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141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2141BF"/>
  </w:style>
  <w:style w:type="character" w:styleId="a4">
    <w:name w:val="Hyperlink"/>
    <w:basedOn w:val="a0"/>
    <w:uiPriority w:val="99"/>
    <w:semiHidden/>
    <w:unhideWhenUsed/>
    <w:rsid w:val="002141BF"/>
    <w:rPr>
      <w:color w:val="0000FF"/>
      <w:u w:val="single"/>
    </w:rPr>
  </w:style>
  <w:style w:type="table" w:styleId="a5">
    <w:name w:val="Table Grid"/>
    <w:basedOn w:val="a1"/>
    <w:uiPriority w:val="59"/>
    <w:rsid w:val="008076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507F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07FC"/>
    <w:rPr>
      <w:rFonts w:ascii="Tahoma" w:hAnsi="Tahoma" w:cs="Tahoma"/>
      <w:sz w:val="16"/>
      <w:szCs w:val="16"/>
    </w:rPr>
  </w:style>
  <w:style w:type="paragraph" w:styleId="a8">
    <w:name w:val="List Paragraph"/>
    <w:basedOn w:val="a"/>
    <w:uiPriority w:val="34"/>
    <w:qFormat/>
    <w:rsid w:val="00D507FC"/>
    <w:pPr>
      <w:ind w:left="720"/>
      <w:contextualSpacing/>
    </w:pPr>
    <w:rPr>
      <w:lang w:val="ru-RU"/>
    </w:rPr>
  </w:style>
  <w:style w:type="character" w:customStyle="1" w:styleId="20">
    <w:name w:val="Заголовок 2 Знак"/>
    <w:basedOn w:val="a0"/>
    <w:link w:val="2"/>
    <w:rsid w:val="00461E23"/>
    <w:rPr>
      <w:rFonts w:ascii="Arial" w:eastAsia="Times New Roman" w:hAnsi="Arial" w:cs="Arial"/>
      <w:b/>
      <w:bCs/>
      <w:i/>
      <w:iCs/>
      <w:szCs w:val="24"/>
      <w:lang w:eastAsia="ru-RU"/>
    </w:rPr>
  </w:style>
</w:styles>
</file>

<file path=word/webSettings.xml><?xml version="1.0" encoding="utf-8"?>
<w:webSettings xmlns:r="http://schemas.openxmlformats.org/officeDocument/2006/relationships" xmlns:w="http://schemas.openxmlformats.org/wordprocessingml/2006/main">
  <w:divs>
    <w:div w:id="1073048457">
      <w:bodyDiv w:val="1"/>
      <w:marLeft w:val="0"/>
      <w:marRight w:val="0"/>
      <w:marTop w:val="0"/>
      <w:marBottom w:val="0"/>
      <w:divBdr>
        <w:top w:val="none" w:sz="0" w:space="0" w:color="auto"/>
        <w:left w:val="none" w:sz="0" w:space="0" w:color="auto"/>
        <w:bottom w:val="none" w:sz="0" w:space="0" w:color="auto"/>
        <w:right w:val="none" w:sz="0" w:space="0" w:color="auto"/>
      </w:divBdr>
    </w:div>
    <w:div w:id="194780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266</Words>
  <Characters>1519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Air Liquide</Company>
  <LinksUpToDate>false</LinksUpToDate>
  <CharactersWithSpaces>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irina.volkova</dc:creator>
  <cp:lastModifiedBy>Kompas</cp:lastModifiedBy>
  <cp:revision>2</cp:revision>
  <dcterms:created xsi:type="dcterms:W3CDTF">2016-06-09T06:04:00Z</dcterms:created>
  <dcterms:modified xsi:type="dcterms:W3CDTF">2016-06-09T06:04:00Z</dcterms:modified>
</cp:coreProperties>
</file>